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9D3E12C" w:rsidR="007358FC" w:rsidRPr="0054223A" w:rsidRDefault="007358FC"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7E5E8976" w14:textId="45A4A751" w:rsidR="00683A0B" w:rsidRPr="0054223A" w:rsidRDefault="00164E72" w:rsidP="00164E72">
      <w:pPr>
        <w:tabs>
          <w:tab w:val="left" w:pos="3105"/>
        </w:tabs>
        <w:contextualSpacing/>
        <w:jc w:val="center"/>
        <w:rPr>
          <w:rFonts w:ascii="Times New Roman" w:hAnsi="Times New Roman" w:cs="Times New Roman"/>
          <w:sz w:val="24"/>
          <w:szCs w:val="28"/>
        </w:rPr>
      </w:pPr>
      <w:r w:rsidRPr="00164E72">
        <w:rPr>
          <w:rFonts w:ascii="Times New Roman" w:hAnsi="Times New Roman" w:cs="Times New Roman"/>
          <w:b/>
          <w:sz w:val="24"/>
          <w:szCs w:val="28"/>
        </w:rPr>
        <w:t>20.02.04 Пожарная безопасность</w:t>
      </w:r>
    </w:p>
    <w:p w14:paraId="0BCC6144" w14:textId="32514DCB" w:rsidR="00683A0B" w:rsidRPr="0054223A" w:rsidRDefault="00624768" w:rsidP="0054223A">
      <w:pPr>
        <w:jc w:val="center"/>
        <w:rPr>
          <w:rFonts w:ascii="Times New Roman" w:hAnsi="Times New Roman" w:cs="Times New Roman"/>
          <w:sz w:val="24"/>
          <w:szCs w:val="28"/>
        </w:rPr>
      </w:pPr>
      <w:r>
        <w:rPr>
          <w:rFonts w:ascii="Times New Roman" w:hAnsi="Times New Roman" w:cs="Times New Roman"/>
          <w:sz w:val="24"/>
          <w:szCs w:val="28"/>
        </w:rPr>
        <w:t>Профиль</w:t>
      </w:r>
      <w:r w:rsidR="00683A0B" w:rsidRPr="0054223A">
        <w:rPr>
          <w:rFonts w:ascii="Times New Roman" w:hAnsi="Times New Roman" w:cs="Times New Roman"/>
          <w:sz w:val="24"/>
          <w:szCs w:val="28"/>
        </w:rPr>
        <w:t xml:space="preserve"> </w:t>
      </w:r>
      <w:r w:rsidR="00F756AC" w:rsidRPr="0054223A">
        <w:rPr>
          <w:rFonts w:ascii="Times New Roman" w:hAnsi="Times New Roman" w:cs="Times New Roman"/>
          <w:sz w:val="24"/>
          <w:szCs w:val="28"/>
        </w:rPr>
        <w:t>технологический</w:t>
      </w: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2DC7C669" w:rsidR="008E4BC8" w:rsidRDefault="008E4BC8" w:rsidP="00914D74">
      <w:pPr>
        <w:spacing w:line="360" w:lineRule="auto"/>
        <w:rPr>
          <w:rFonts w:ascii="Times New Roman" w:hAnsi="Times New Roman" w:cs="Times New Roman"/>
          <w:sz w:val="28"/>
          <w:szCs w:val="28"/>
        </w:rPr>
      </w:pPr>
    </w:p>
    <w:p w14:paraId="641369FB" w14:textId="670584C4" w:rsidR="00624768" w:rsidRDefault="00624768" w:rsidP="00914D74">
      <w:pPr>
        <w:spacing w:line="360" w:lineRule="auto"/>
        <w:rPr>
          <w:rFonts w:ascii="Times New Roman" w:hAnsi="Times New Roman" w:cs="Times New Roman"/>
          <w:sz w:val="28"/>
          <w:szCs w:val="28"/>
        </w:rPr>
      </w:pPr>
    </w:p>
    <w:p w14:paraId="522AB151" w14:textId="145248F8" w:rsidR="00624768" w:rsidRPr="00357A64" w:rsidRDefault="00624768" w:rsidP="00914D74">
      <w:pPr>
        <w:spacing w:line="360" w:lineRule="auto"/>
        <w:rPr>
          <w:rFonts w:ascii="Times New Roman" w:hAnsi="Times New Roman" w:cs="Times New Roman"/>
          <w:sz w:val="28"/>
          <w:szCs w:val="28"/>
        </w:rPr>
      </w:pPr>
    </w:p>
    <w:p w14:paraId="72DF496C" w14:textId="77777777" w:rsidR="007358FC" w:rsidRPr="00624768" w:rsidRDefault="007358FC" w:rsidP="007358FC">
      <w:pPr>
        <w:spacing w:line="360" w:lineRule="auto"/>
        <w:jc w:val="center"/>
        <w:rPr>
          <w:rFonts w:ascii="Times New Roman" w:hAnsi="Times New Roman" w:cs="Times New Roman"/>
          <w:bCs/>
          <w:sz w:val="24"/>
          <w:szCs w:val="28"/>
        </w:rPr>
      </w:pPr>
      <w:r w:rsidRPr="00624768">
        <w:rPr>
          <w:rFonts w:ascii="Times New Roman" w:hAnsi="Times New Roman" w:cs="Times New Roman"/>
          <w:bCs/>
          <w:sz w:val="24"/>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0CD8A982" w:rsidR="007358FC" w:rsidRPr="00357A64" w:rsidRDefault="00164E72"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164E72">
              <w:rPr>
                <w:rFonts w:ascii="Times New Roman" w:hAnsi="Times New Roman"/>
                <w:sz w:val="24"/>
                <w:szCs w:val="24"/>
              </w:rPr>
              <w:t>20.02.04 Пожарная безопасность</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164E72">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164E72">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164E72">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740815D0"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00164E72" w:rsidRPr="00164E72">
        <w:rPr>
          <w:rFonts w:ascii="Times New Roman" w:hAnsi="Times New Roman"/>
          <w:sz w:val="24"/>
          <w:szCs w:val="24"/>
        </w:rPr>
        <w:t>20.02.04 Пожарная безопасность</w:t>
      </w:r>
      <w:bookmarkStart w:id="1" w:name="_GoBack"/>
      <w:bookmarkEnd w:id="1"/>
      <w:r w:rsidRPr="001439BF">
        <w:rPr>
          <w:rFonts w:ascii="Times New Roman" w:hAnsi="Times New Roman" w:cs="Times New Roman"/>
          <w:sz w:val="24"/>
          <w:szCs w:val="24"/>
        </w:rPr>
        <w:t>.</w:t>
      </w:r>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22BABFC"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00719D5F"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04. Эффективно взаимодействовать и работать в коллективе и команде;</w:t>
      </w:r>
    </w:p>
    <w:p w14:paraId="5420D6B2" w14:textId="21AEE92E"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B973F38" w14:textId="77777777" w:rsidR="00CD1500" w:rsidRDefault="00CD1500" w:rsidP="008C5B5C">
      <w:pPr>
        <w:ind w:firstLine="709"/>
        <w:jc w:val="both"/>
        <w:rPr>
          <w:rFonts w:ascii="Times New Roman" w:hAnsi="Times New Roman" w:cs="Times New Roman"/>
          <w:b/>
          <w:sz w:val="24"/>
          <w:szCs w:val="24"/>
        </w:rPr>
      </w:pPr>
    </w:p>
    <w:p w14:paraId="4C14D488" w14:textId="77777777" w:rsidR="00CD1500" w:rsidRPr="00CD1500" w:rsidRDefault="00CD1500" w:rsidP="00CD1500">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w:t>
      </w:r>
      <w:r w:rsidRPr="00110307">
        <w:rPr>
          <w:rFonts w:ascii="Times New Roman" w:hAnsi="Times New Roman" w:cs="Times New Roman"/>
          <w:sz w:val="24"/>
          <w:szCs w:val="24"/>
        </w:rPr>
        <w:lastRenderedPageBreak/>
        <w:t xml:space="preserve">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2" w:name="_heading=h.1fob9te" w:colFirst="0" w:colLast="0"/>
      <w:bookmarkStart w:id="3" w:name="_Toc129703255"/>
      <w:bookmarkEnd w:id="2"/>
      <w:r w:rsidRPr="008A2304">
        <w:rPr>
          <w:rFonts w:ascii="Times New Roman" w:hAnsi="Times New Roman" w:cs="Times New Roman"/>
          <w:b/>
          <w:sz w:val="24"/>
          <w:szCs w:val="28"/>
        </w:rPr>
        <w:t xml:space="preserve">2. СТРУКТУРА И СОДЕРЖАНИЕ </w:t>
      </w:r>
      <w:bookmarkEnd w:id="3"/>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4" w:name="_Toc129703256"/>
      <w:r w:rsidRPr="008A2304">
        <w:rPr>
          <w:rFonts w:ascii="Times New Roman" w:eastAsia="Times New Roman" w:hAnsi="Times New Roman" w:cs="Times New Roman"/>
          <w:b/>
          <w:sz w:val="24"/>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499A5915" w:rsidR="00630AE4"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06BA637C"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C1429D" w:rsidRPr="00630AE4">
              <w:rPr>
                <w:rFonts w:ascii="Times New Roman" w:eastAsia="Times New Roman" w:hAnsi="Times New Roman" w:cs="Times New Roman"/>
                <w:sz w:val="24"/>
                <w:szCs w:val="24"/>
              </w:rPr>
              <w:t>1</w:t>
            </w:r>
          </w:p>
          <w:p w14:paraId="558D8D05" w14:textId="77777777" w:rsidR="00C1429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w:t>
            </w:r>
            <w:r w:rsidR="00CA746D">
              <w:rPr>
                <w:rFonts w:ascii="Times New Roman" w:eastAsia="Times New Roman" w:hAnsi="Times New Roman" w:cs="Times New Roman"/>
                <w:sz w:val="24"/>
                <w:szCs w:val="24"/>
              </w:rPr>
              <w:t>К 0</w:t>
            </w:r>
            <w:r w:rsidRPr="00630AE4">
              <w:rPr>
                <w:rFonts w:ascii="Times New Roman" w:eastAsia="Times New Roman" w:hAnsi="Times New Roman" w:cs="Times New Roman"/>
                <w:sz w:val="24"/>
                <w:szCs w:val="24"/>
              </w:rPr>
              <w:t>4</w:t>
            </w:r>
          </w:p>
          <w:p w14:paraId="3CB6AC08" w14:textId="03AF5118" w:rsidR="00CA746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C1429D" w:rsidRPr="00A4579A" w:rsidRDefault="00C1429D" w:rsidP="00A4579A">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57F71565"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4644CD43"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3DFC16C0" w:rsidR="002357A5"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2357A5" w:rsidRPr="00630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p>
          <w:p w14:paraId="3B1504BA" w14:textId="5AA72441"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1EB8837A"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4C42F38A" w14:textId="5E2F1D93" w:rsidR="00630AE4"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28DC8D3E"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59307AB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59BE61C5" w14:textId="6DE7D42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1ED79C93" w:rsidR="00974388"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r w:rsidR="00974388" w:rsidRPr="00630AE4">
              <w:rPr>
                <w:rFonts w:ascii="Times New Roman" w:eastAsia="Times New Roman" w:hAnsi="Times New Roman" w:cs="Times New Roman"/>
                <w:sz w:val="24"/>
                <w:szCs w:val="24"/>
              </w:rPr>
              <w:t xml:space="preserve">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5BD80A0C"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330BE214" w14:textId="5C5ED843"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0E5CA92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9681346" w14:textId="0F45100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90B0A58" w:rsidR="0065121E"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4"/>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1A1BCD69" w:rsidR="00A4579A" w:rsidRDefault="00A4579A">
        <w:pPr>
          <w:pStyle w:val="affff"/>
          <w:jc w:val="right"/>
        </w:pPr>
        <w:r>
          <w:fldChar w:fldCharType="begin"/>
        </w:r>
        <w:r>
          <w:instrText>PAGE   \* MERGEFORMAT</w:instrText>
        </w:r>
        <w:r>
          <w:fldChar w:fldCharType="separate"/>
        </w:r>
        <w:r w:rsidR="00164E72">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439BF"/>
    <w:rsid w:val="0015228A"/>
    <w:rsid w:val="00157902"/>
    <w:rsid w:val="00164E72"/>
    <w:rsid w:val="001B79A0"/>
    <w:rsid w:val="001C126E"/>
    <w:rsid w:val="00207D0F"/>
    <w:rsid w:val="002264A5"/>
    <w:rsid w:val="002357A5"/>
    <w:rsid w:val="00243029"/>
    <w:rsid w:val="002A04B5"/>
    <w:rsid w:val="002D3B62"/>
    <w:rsid w:val="002D4303"/>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72A87"/>
    <w:rsid w:val="00A73DCD"/>
    <w:rsid w:val="00A9302F"/>
    <w:rsid w:val="00AC13D0"/>
    <w:rsid w:val="00B003C7"/>
    <w:rsid w:val="00B01A66"/>
    <w:rsid w:val="00B14E84"/>
    <w:rsid w:val="00B3770E"/>
    <w:rsid w:val="00B61812"/>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BD065F-2B97-4BCE-880A-F74AAB8B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34</Pages>
  <Words>19738</Words>
  <Characters>112511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104</cp:revision>
  <cp:lastPrinted>2024-08-21T07:40:00Z</cp:lastPrinted>
  <dcterms:created xsi:type="dcterms:W3CDTF">2023-03-14T13:41:00Z</dcterms:created>
  <dcterms:modified xsi:type="dcterms:W3CDTF">2024-08-28T12:36:00Z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