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1CCCA960" w14:textId="50BFE8F0" w:rsidR="00433D8E" w:rsidRPr="00433D8E" w:rsidRDefault="000226C6" w:rsidP="00A5135D">
      <w:pPr>
        <w:spacing w:after="0" w:line="360" w:lineRule="auto"/>
        <w:jc w:val="center"/>
        <w:rPr>
          <w:rFonts w:ascii="Times New Roman" w:eastAsia="Times New Roman" w:hAnsi="Times New Roman" w:cs="Times New Roman"/>
          <w:b/>
          <w:sz w:val="24"/>
          <w:szCs w:val="24"/>
        </w:rPr>
      </w:pPr>
      <w:r w:rsidRPr="000226C6">
        <w:rPr>
          <w:rFonts w:ascii="Times New Roman" w:eastAsia="Times New Roman" w:hAnsi="Times New Roman" w:cs="Times New Roman"/>
          <w:b/>
          <w:sz w:val="24"/>
          <w:szCs w:val="24"/>
        </w:rPr>
        <w:t>20.02.04 Пожарная безопасность</w:t>
      </w:r>
    </w:p>
    <w:p w14:paraId="3B583F3B" w14:textId="0691FCB4" w:rsidR="006A65F3" w:rsidRPr="00CE7F46" w:rsidRDefault="00433D8E" w:rsidP="00A5135D">
      <w:pPr>
        <w:spacing w:line="360" w:lineRule="auto"/>
        <w:jc w:val="center"/>
        <w:rPr>
          <w:b/>
          <w:color w:val="FF0000"/>
        </w:rPr>
      </w:pPr>
      <w:r w:rsidRPr="00433D8E">
        <w:rPr>
          <w:rFonts w:ascii="Times New Roman" w:eastAsia="Times New Roman" w:hAnsi="Times New Roman" w:cs="Times New Roman"/>
          <w:b/>
          <w:sz w:val="24"/>
          <w:szCs w:val="24"/>
        </w:rPr>
        <w:t>Профиль</w:t>
      </w:r>
      <w:r w:rsidRPr="006A65F3">
        <w:rPr>
          <w:rFonts w:ascii="Times New Roman" w:eastAsia="Times New Roman" w:hAnsi="Times New Roman" w:cs="Times New Roman"/>
          <w:b/>
          <w:sz w:val="24"/>
          <w:szCs w:val="24"/>
        </w:rPr>
        <w:t xml:space="preserve"> </w:t>
      </w:r>
      <w:r w:rsidR="0053545A">
        <w:rPr>
          <w:rFonts w:ascii="Times New Roman" w:hAnsi="Times New Roman" w:cs="Times New Roman"/>
          <w:b/>
          <w:sz w:val="24"/>
          <w:szCs w:val="24"/>
        </w:rPr>
        <w:t>технологический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3EA20E7D" w:rsidR="00433D8E" w:rsidRPr="00A5135D" w:rsidRDefault="00433D8E" w:rsidP="00A5135D">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2446E1E1"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14FC967" w14:textId="39CDC0A3" w:rsidR="00433D8E" w:rsidRPr="00433D8E" w:rsidRDefault="000226C6" w:rsidP="00A5135D">
            <w:pPr>
              <w:spacing w:after="0" w:line="240" w:lineRule="auto"/>
              <w:rPr>
                <w:rFonts w:ascii="Times New Roman" w:eastAsia="Times New Roman" w:hAnsi="Times New Roman" w:cs="Times New Roman"/>
                <w:sz w:val="24"/>
                <w:szCs w:val="24"/>
              </w:rPr>
            </w:pPr>
            <w:r w:rsidRPr="000226C6">
              <w:rPr>
                <w:rFonts w:ascii="Times New Roman" w:hAnsi="Times New Roman"/>
                <w:sz w:val="24"/>
                <w:szCs w:val="24"/>
              </w:rPr>
              <w:t>20.02.04 Пожарная безопасность</w:t>
            </w: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3800545B"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1335A1">
              <w:rPr>
                <w:rFonts w:ascii="Times New Roman" w:eastAsia="Times New Roman" w:hAnsi="Times New Roman" w:cs="Times New Roman"/>
                <w:spacing w:val="20"/>
                <w:sz w:val="24"/>
                <w:szCs w:val="24"/>
              </w:rPr>
              <w:t>336/б</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0226C6">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0226C6">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0226C6">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68DFB42B"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 xml:space="preserve">по специальности </w:t>
      </w:r>
      <w:r w:rsidR="000226C6" w:rsidRPr="000226C6">
        <w:rPr>
          <w:rFonts w:ascii="Times New Roman" w:hAnsi="Times New Roman" w:cs="Times New Roman"/>
          <w:sz w:val="24"/>
          <w:szCs w:val="24"/>
        </w:rPr>
        <w:t>20.02.04 Пожарная безопасность</w:t>
      </w:r>
      <w:bookmarkStart w:id="1" w:name="_GoBack"/>
      <w:bookmarkEnd w:id="1"/>
      <w:r w:rsidR="00507F00" w:rsidRPr="00507F00">
        <w:rPr>
          <w:rFonts w:ascii="Times New Roman" w:hAnsi="Times New Roman" w:cs="Times New Roman"/>
          <w:sz w:val="24"/>
          <w:szCs w:val="24"/>
        </w:rPr>
        <w:t>.</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51C7F692"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7F4B2AC8"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04. Эффективно взаимодействовать и работать в коллективе и команде;</w:t>
      </w:r>
    </w:p>
    <w:p w14:paraId="09D0D1D9" w14:textId="21EB1663"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8"/>
        </w:rPr>
        <w:t>.</w:t>
      </w:r>
    </w:p>
    <w:p w14:paraId="4DE3DBF1" w14:textId="049F5FB7" w:rsidR="00664C98" w:rsidRDefault="00664C98" w:rsidP="000606DF">
      <w:pPr>
        <w:spacing w:after="0" w:line="276" w:lineRule="auto"/>
        <w:jc w:val="both"/>
        <w:rPr>
          <w:rFonts w:ascii="Times New Roman" w:eastAsia="Times New Roman" w:hAnsi="Times New Roman" w:cs="Times New Roman"/>
          <w:b/>
        </w:rPr>
      </w:pPr>
    </w:p>
    <w:p w14:paraId="117E5795" w14:textId="2B7A6FA8" w:rsidR="006A65F3" w:rsidRPr="00E71B44" w:rsidRDefault="000606DF" w:rsidP="00507F00">
      <w:pPr>
        <w:spacing w:after="0" w:line="276" w:lineRule="auto"/>
        <w:ind w:firstLine="720"/>
        <w:jc w:val="both"/>
        <w:rPr>
          <w:rFonts w:ascii="Times New Roman" w:eastAsia="Times New Roman" w:hAnsi="Times New Roman" w:cs="Times New Roman"/>
          <w:b/>
        </w:rPr>
      </w:pPr>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lastRenderedPageBreak/>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2"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2"/>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499778C5"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том числе термохимические расчёты</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4838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0638F3BA"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4838AF">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C2F81">
        <w:trPr>
          <w:trHeight w:val="8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4838AF">
        <w:trPr>
          <w:trHeight w:val="306"/>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4838AF">
        <w:trPr>
          <w:trHeight w:val="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4838AF">
        <w:trPr>
          <w:trHeight w:val="2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541546DB" w:rsidR="00764B19" w:rsidRPr="0099144F" w:rsidRDefault="00764B19" w:rsidP="004838AF">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CED28A" w14:textId="7FA34BEC" w:rsidR="00764B19" w:rsidRPr="004838AF" w:rsidRDefault="00764B19" w:rsidP="004838AF">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838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6C2F81">
        <w:trPr>
          <w:trHeight w:val="34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4838AF">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6C2F81">
        <w:trPr>
          <w:trHeight w:val="80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6C2F81">
        <w:trPr>
          <w:trHeight w:val="31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C2F81">
        <w:trPr>
          <w:trHeight w:val="251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4838AF">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4838AF">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6C2F81">
        <w:trPr>
          <w:trHeight w:val="238"/>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4838AF">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6C2F81">
        <w:trPr>
          <w:trHeight w:val="293"/>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6C2F81">
        <w:trPr>
          <w:trHeight w:val="19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4838AF">
        <w:trPr>
          <w:trHeight w:val="58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4838AF">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4838AF">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4838A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4838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4838AF">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4838AF">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4838AF">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4838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54BBBF95"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838AF" w:rsidRPr="0099144F" w14:paraId="4F179D81" w14:textId="77777777" w:rsidTr="004838AF">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4838AF" w:rsidRPr="0099144F" w:rsidRDefault="004838A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4838AF" w:rsidRPr="0099144F" w14:paraId="456651CF" w14:textId="77777777" w:rsidTr="004838AF">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4838A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4838AF" w:rsidRPr="0099144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00B9E322" w14:textId="77777777" w:rsidTr="004838AF">
        <w:trPr>
          <w:trHeight w:val="362"/>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4838AF" w:rsidRPr="00E379AB" w:rsidRDefault="004838AF">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4A00EBB2" w14:textId="77777777" w:rsidTr="004838AF">
        <w:trPr>
          <w:trHeight w:val="356"/>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6C2F81">
        <w:trPr>
          <w:trHeight w:val="208"/>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4838AF">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4DBE9A92"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r w:rsidR="006C2F81">
              <w:rPr>
                <w:rFonts w:ascii="Times New Roman" w:eastAsia="OfficinaSansBookC" w:hAnsi="Times New Roman" w:cs="Times New Roman"/>
                <w:b/>
                <w:sz w:val="24"/>
                <w:szCs w:val="24"/>
              </w:rPr>
              <w:t xml:space="preserve"> сем</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664C98" w:rsidRDefault="00664C98">
      <w:pPr>
        <w:spacing w:after="0" w:line="240" w:lineRule="auto"/>
      </w:pPr>
      <w:r>
        <w:separator/>
      </w:r>
    </w:p>
  </w:endnote>
  <w:endnote w:type="continuationSeparator" w:id="0">
    <w:p w14:paraId="18D79C96" w14:textId="77777777" w:rsidR="00664C98" w:rsidRDefault="0066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77A36D43" w:rsidR="00664C98" w:rsidRDefault="00664C98">
    <w:pPr>
      <w:jc w:val="right"/>
    </w:pPr>
    <w:r>
      <w:fldChar w:fldCharType="begin"/>
    </w:r>
    <w:r>
      <w:instrText>PAGE</w:instrText>
    </w:r>
    <w:r>
      <w:fldChar w:fldCharType="separate"/>
    </w:r>
    <w:r w:rsidR="000226C6">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664C98" w:rsidRDefault="00664C98">
      <w:pPr>
        <w:spacing w:after="0" w:line="240" w:lineRule="auto"/>
      </w:pPr>
      <w:r>
        <w:separator/>
      </w:r>
    </w:p>
  </w:footnote>
  <w:footnote w:type="continuationSeparator" w:id="0">
    <w:p w14:paraId="5828AFA0" w14:textId="77777777" w:rsidR="00664C98" w:rsidRDefault="0066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226C6"/>
    <w:rsid w:val="000308C1"/>
    <w:rsid w:val="000434E6"/>
    <w:rsid w:val="00044A33"/>
    <w:rsid w:val="000606DF"/>
    <w:rsid w:val="000B47DB"/>
    <w:rsid w:val="001335A1"/>
    <w:rsid w:val="00141C14"/>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77D7D"/>
    <w:rsid w:val="0099144F"/>
    <w:rsid w:val="009F37FC"/>
    <w:rsid w:val="00A3211C"/>
    <w:rsid w:val="00A5135D"/>
    <w:rsid w:val="00A94AA5"/>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1FC94E-92CD-4B2F-B233-D3A51FF8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40</Pages>
  <Words>11994</Words>
  <Characters>68369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26</cp:revision>
  <cp:lastPrinted>2023-03-14T12:16:00Z</cp:lastPrinted>
  <dcterms:created xsi:type="dcterms:W3CDTF">2023-08-30T10:13:00Z</dcterms:created>
  <dcterms:modified xsi:type="dcterms:W3CDTF">2024-08-28T12:35:00Z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