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="008E7358">
        <w:rPr>
          <w:rFonts w:ascii="Times New Roman" w:hAnsi="Times New Roman" w:cs="Times New Roman"/>
          <w:sz w:val="24"/>
          <w:szCs w:val="24"/>
        </w:rPr>
        <w:br/>
      </w:r>
      <w:r w:rsidRPr="003A7E4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8E735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A7E4E"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3A7E4E" w:rsidRPr="003A7E4E" w:rsidRDefault="008E7358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3A7E4E" w:rsidRPr="003A7E4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7358" w:rsidRDefault="008E7358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7358" w:rsidRPr="003A7E4E" w:rsidRDefault="008E7358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8E7358">
        <w:rPr>
          <w:rFonts w:ascii="Times New Roman" w:hAnsi="Times New Roman"/>
          <w:b/>
          <w:sz w:val="24"/>
          <w:szCs w:val="24"/>
        </w:rPr>
        <w:t>8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A65209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A65209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</w:t>
      </w:r>
      <w:r w:rsidR="003A7E4E" w:rsidRPr="004C3C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 Повар, кондитер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8E7358">
        <w:rPr>
          <w:rFonts w:ascii="Times New Roman" w:hAnsi="Times New Roman"/>
          <w:sz w:val="24"/>
          <w:szCs w:val="24"/>
        </w:rPr>
        <w:t>3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A24C1D" w:rsidRDefault="003A7E4E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1" w:name="YANDEX_0"/>
            <w:bookmarkEnd w:id="1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</w:t>
            </w:r>
            <w:r w:rsidR="00A65209">
              <w:rPr>
                <w:rFonts w:ascii="Times New Roman" w:hAnsi="Times New Roman"/>
                <w:sz w:val="24"/>
                <w:szCs w:val="24"/>
              </w:rPr>
              <w:t>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</w:p>
          <w:p w:rsidR="00A24C1D" w:rsidRDefault="00A65209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8E7358" w:rsidRPr="008E735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293/а   </w:t>
            </w:r>
          </w:p>
          <w:p w:rsidR="003A7E4E" w:rsidRPr="003A7E4E" w:rsidRDefault="008E7358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«03» июля </w:t>
            </w:r>
            <w:r w:rsidRPr="00025965">
              <w:rPr>
                <w:rFonts w:ascii="Times New Roman" w:hAnsi="Times New Roman"/>
                <w:sz w:val="24"/>
                <w:szCs w:val="24"/>
              </w:rPr>
              <w:t>2023г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FC4A00">
        <w:rPr>
          <w:rFonts w:ascii="Times New Roman" w:hAnsi="Times New Roman"/>
          <w:sz w:val="24"/>
          <w:szCs w:val="24"/>
        </w:rPr>
        <w:t>202</w:t>
      </w:r>
      <w:r w:rsidR="008E7358">
        <w:rPr>
          <w:rFonts w:ascii="Times New Roman" w:hAnsi="Times New Roman"/>
          <w:sz w:val="24"/>
          <w:szCs w:val="24"/>
        </w:rPr>
        <w:t>3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3A7E4E" w:rsidRDefault="00A65209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А.В</w:t>
            </w:r>
            <w:r w:rsidR="003A7E4E">
              <w:rPr>
                <w:rFonts w:ascii="Times New Roman" w:hAnsi="Times New Roman"/>
                <w:sz w:val="24"/>
                <w:szCs w:val="24"/>
              </w:rPr>
              <w:t>., 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6A" w:rsidRPr="003A7E4E" w:rsidRDefault="004C3C6A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FC4A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</w:t>
            </w:r>
            <w:r w:rsidR="008E7358">
              <w:rPr>
                <w:rFonts w:ascii="Times New Roman" w:hAnsi="Times New Roman"/>
                <w:sz w:val="24"/>
                <w:szCs w:val="24"/>
              </w:rPr>
              <w:t>3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255"/>
        <w:gridCol w:w="813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</w:t>
            </w:r>
            <w:r w:rsidR="008F6313">
              <w:rPr>
                <w:rFonts w:ascii="Times New Roman" w:hAnsi="Times New Roman"/>
                <w:sz w:val="24"/>
                <w:szCs w:val="24"/>
              </w:rPr>
              <w:t>ИКА ПРОГРАММЫ УЧЕБНОГО ПРЕДМЕТА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</w:t>
            </w:r>
            <w:r w:rsidR="008F6313">
              <w:rPr>
                <w:rFonts w:ascii="Times New Roman" w:hAnsi="Times New Roman"/>
                <w:sz w:val="24"/>
                <w:szCs w:val="24"/>
              </w:rPr>
              <w:t>НИЕ ПРОГРАММЫ УЧЕБНОГО ПРЕДМЕТА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F91523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ПРОГРАММЫ </w:t>
            </w:r>
            <w:r w:rsidR="008F6313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40" w:type="dxa"/>
          </w:tcPr>
          <w:p w:rsidR="00B31D87" w:rsidRPr="004C3C6A" w:rsidRDefault="0073134B" w:rsidP="00F91523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</w:t>
            </w:r>
            <w:r w:rsidR="00F91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8F6313">
        <w:rPr>
          <w:rFonts w:ascii="Times New Roman" w:hAnsi="Times New Roman"/>
          <w:b/>
          <w:sz w:val="24"/>
          <w:szCs w:val="24"/>
        </w:rPr>
        <w:t>ОГРАММЫ УЧЕБНОГО ПРЕДМЕТА</w:t>
      </w:r>
      <w:r w:rsidR="000E7DED">
        <w:rPr>
          <w:rFonts w:ascii="Times New Roman" w:hAnsi="Times New Roman"/>
          <w:b/>
          <w:sz w:val="24"/>
          <w:szCs w:val="24"/>
        </w:rPr>
        <w:br/>
        <w:t>ОП.0</w:t>
      </w:r>
      <w:r w:rsidR="008E7358">
        <w:rPr>
          <w:rFonts w:ascii="Times New Roman" w:hAnsi="Times New Roman"/>
          <w:b/>
          <w:sz w:val="24"/>
          <w:szCs w:val="24"/>
        </w:rPr>
        <w:t>8</w:t>
      </w:r>
      <w:r w:rsidR="004B2BFD">
        <w:rPr>
          <w:rFonts w:ascii="Times New Roman" w:hAnsi="Times New Roman"/>
          <w:b/>
          <w:sz w:val="24"/>
          <w:szCs w:val="24"/>
        </w:rPr>
        <w:t xml:space="preserve">.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Pr="0013620F" w:rsidRDefault="004B2BFD" w:rsidP="00B31D8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8F6313">
        <w:rPr>
          <w:rFonts w:ascii="Times New Roman" w:hAnsi="Times New Roman"/>
          <w:sz w:val="24"/>
          <w:szCs w:val="24"/>
        </w:rPr>
        <w:t>программа учебного предмета</w:t>
      </w:r>
      <w:r w:rsidR="00B31D87" w:rsidRPr="0013620F">
        <w:rPr>
          <w:rFonts w:ascii="Times New Roman" w:hAnsi="Times New Roman"/>
          <w:sz w:val="24"/>
          <w:szCs w:val="24"/>
        </w:rPr>
        <w:t xml:space="preserve">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>образовательной программы в соответс</w:t>
      </w:r>
      <w:r w:rsidR="00A65209">
        <w:rPr>
          <w:rFonts w:ascii="Times New Roman" w:hAnsi="Times New Roman"/>
          <w:sz w:val="24"/>
          <w:szCs w:val="24"/>
        </w:rPr>
        <w:t>твии с ФГОС СПО по профессии  43.01.09 Повар, кондитер</w:t>
      </w:r>
      <w:r w:rsidR="00B31D87" w:rsidRPr="0013620F">
        <w:rPr>
          <w:rFonts w:ascii="Times New Roman" w:hAnsi="Times New Roman"/>
          <w:sz w:val="24"/>
          <w:szCs w:val="24"/>
        </w:rPr>
        <w:t>.</w:t>
      </w:r>
    </w:p>
    <w:p w:rsidR="00205F67" w:rsidRDefault="00205F6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0E7DE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</w:t>
      </w:r>
      <w:r w:rsidR="008F6313">
        <w:rPr>
          <w:rFonts w:ascii="Times New Roman" w:hAnsi="Times New Roman"/>
          <w:b/>
          <w:sz w:val="24"/>
          <w:szCs w:val="24"/>
        </w:rPr>
        <w:t>е результаты освоения предмета</w:t>
      </w:r>
      <w:r w:rsidRPr="0013620F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0E7DED" w:rsidRPr="000E7DED" w:rsidTr="0084429F">
        <w:trPr>
          <w:trHeight w:val="20"/>
        </w:trPr>
        <w:tc>
          <w:tcPr>
            <w:tcW w:w="871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DED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0E7DED" w:rsidRPr="000E7DED" w:rsidTr="0084429F">
        <w:trPr>
          <w:trHeight w:val="20"/>
        </w:trPr>
        <w:tc>
          <w:tcPr>
            <w:tcW w:w="871" w:type="pct"/>
          </w:tcPr>
          <w:p w:rsidR="00A65209" w:rsidRPr="00A65209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4.1, </w:t>
            </w:r>
          </w:p>
          <w:p w:rsidR="000E7DED" w:rsidRPr="000E7DED" w:rsidRDefault="00A65209" w:rsidP="00A652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1829" w:type="pct"/>
          </w:tcPr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2" w:name="_Toc348542785"/>
      <w:bookmarkStart w:id="3" w:name="_Toc348646862"/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</w:t>
      </w:r>
      <w:bookmarkEnd w:id="2"/>
      <w:bookmarkEnd w:id="3"/>
      <w:r w:rsidR="008F6313">
        <w:rPr>
          <w:rFonts w:ascii="Times New Roman" w:hAnsi="Times New Roman"/>
          <w:b/>
          <w:bCs/>
          <w:caps/>
          <w:sz w:val="24"/>
          <w:szCs w:val="24"/>
        </w:rPr>
        <w:t>ГО ПРЕДМЕТА</w:t>
      </w:r>
    </w:p>
    <w:p w:rsidR="00B31D87" w:rsidRDefault="008F6313" w:rsidP="00B31D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учебного предмета</w:t>
      </w:r>
      <w:r w:rsidR="00B31D87" w:rsidRPr="0013620F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513FE6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A65209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A65209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513FE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E255AA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8" w:type="pct"/>
          </w:tcPr>
          <w:p w:rsidR="00B31D87" w:rsidRPr="00046F9A" w:rsidRDefault="00A65209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E255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6342B8">
              <w:rPr>
                <w:rFonts w:ascii="Times New Roman" w:hAnsi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Pr="0013620F" w:rsidRDefault="00B31D87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</w:t>
      </w:r>
      <w:r w:rsidR="008F6313">
        <w:rPr>
          <w:rFonts w:ascii="Times New Roman" w:hAnsi="Times New Roman"/>
          <w:b/>
          <w:sz w:val="24"/>
          <w:szCs w:val="24"/>
        </w:rPr>
        <w:t xml:space="preserve"> и содержание учебного предмета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5D5123">
        <w:rPr>
          <w:rFonts w:ascii="Times New Roman" w:hAnsi="Times New Roman"/>
          <w:b/>
          <w:sz w:val="24"/>
          <w:szCs w:val="24"/>
        </w:rPr>
        <w:t>ОП.0</w:t>
      </w:r>
      <w:r w:rsidR="008E7358">
        <w:rPr>
          <w:rFonts w:ascii="Times New Roman" w:hAnsi="Times New Roman"/>
          <w:b/>
          <w:sz w:val="24"/>
          <w:szCs w:val="24"/>
        </w:rPr>
        <w:t>8</w:t>
      </w:r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8959"/>
        <w:gridCol w:w="1588"/>
        <w:gridCol w:w="1888"/>
      </w:tblGrid>
      <w:tr w:rsidR="00E009FD" w:rsidRPr="00E009FD" w:rsidTr="0084429F">
        <w:trPr>
          <w:trHeight w:val="20"/>
        </w:trPr>
        <w:tc>
          <w:tcPr>
            <w:tcW w:w="772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09FD" w:rsidRPr="00E009FD" w:rsidTr="0084429F">
        <w:trPr>
          <w:trHeight w:val="578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I.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40" w:type="pct"/>
          </w:tcPr>
          <w:p w:rsidR="00E009FD" w:rsidRPr="00E009FD" w:rsidRDefault="005B61E9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4.1, </w:t>
            </w:r>
          </w:p>
          <w:p w:rsidR="00E009FD" w:rsidRPr="00E009FD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297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4.1, </w:t>
            </w:r>
          </w:p>
          <w:p w:rsidR="00E009FD" w:rsidRPr="00E009FD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17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9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th-TH"/>
              </w:rPr>
              <w:t>Тема 1.3.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территорий при стихийных бедствиях, при авариях (катастрофах) на транспорте, производственных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4.1, </w:t>
            </w:r>
          </w:p>
          <w:p w:rsidR="00E009FD" w:rsidRPr="00E009FD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335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A65209" w:rsidRPr="00A65209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 xml:space="preserve">ПК 4.1, </w:t>
            </w:r>
          </w:p>
          <w:p w:rsidR="00E009FD" w:rsidRPr="00E009FD" w:rsidRDefault="00A65209" w:rsidP="00A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09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2.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40" w:type="pct"/>
            <w:vAlign w:val="center"/>
          </w:tcPr>
          <w:p w:rsidR="00E009FD" w:rsidRPr="00E009FD" w:rsidRDefault="008F6313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2" w:type="pct"/>
            <w:vMerge w:val="restart"/>
            <w:vAlign w:val="center"/>
          </w:tcPr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ОК 1- 10,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1.1,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3.1, </w:t>
            </w:r>
          </w:p>
          <w:p w:rsidR="00A65209" w:rsidRPr="00A65209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 xml:space="preserve">ПК 4.1, </w:t>
            </w:r>
          </w:p>
          <w:p w:rsidR="00E009FD" w:rsidRPr="00E009FD" w:rsidRDefault="00A65209" w:rsidP="00A652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209"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2.1.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8F6313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208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Правильное чередование физических и умственных нагрузок. Рациональный режим дня.</w:t>
            </w:r>
          </w:p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Первая (доврачебная) помощь при отравлениях.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67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Основы военной службы</w:t>
            </w:r>
          </w:p>
        </w:tc>
        <w:tc>
          <w:tcPr>
            <w:tcW w:w="540" w:type="pct"/>
            <w:vAlign w:val="center"/>
          </w:tcPr>
          <w:p w:rsidR="00E009FD" w:rsidRPr="00D50233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42" w:type="pct"/>
            <w:vMerge w:val="restart"/>
            <w:vAlign w:val="center"/>
          </w:tcPr>
          <w:p w:rsidR="008F6313" w:rsidRPr="008F6313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>ОК 1- 10,</w:t>
            </w:r>
          </w:p>
          <w:p w:rsidR="008F6313" w:rsidRPr="008F6313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 xml:space="preserve">ПК 1.1, </w:t>
            </w:r>
          </w:p>
          <w:p w:rsidR="008F6313" w:rsidRPr="008F6313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8F6313" w:rsidRPr="008F6313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 xml:space="preserve">ПК 3.1, </w:t>
            </w:r>
          </w:p>
          <w:p w:rsidR="008F6313" w:rsidRPr="008F6313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 xml:space="preserve">ПК 4.1, </w:t>
            </w:r>
          </w:p>
          <w:p w:rsidR="00E009FD" w:rsidRPr="00E009FD" w:rsidRDefault="008F6313" w:rsidP="008F631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13"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</w:t>
            </w:r>
            <w:r w:rsidRPr="00E009F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3.</w:t>
            </w: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E009F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Основы обороны государства. Военная доктрина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Функции и основные задачи современных Вооруженных</w:t>
            </w:r>
            <w:r w:rsidR="00850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Сил России, их роль в системе </w:t>
            </w: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обеспечения национальной безопасности страны. Состав и структура Вооруженных сил России.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iCs/>
                <w:sz w:val="24"/>
                <w:szCs w:val="24"/>
              </w:rPr>
              <w:t xml:space="preserve">Проявление терроризма </w:t>
            </w: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E009FD">
              <w:rPr>
                <w:rFonts w:ascii="Times New Roman" w:hAnsi="Times New Roman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33" w:rsidRPr="00E009FD" w:rsidTr="0084429F">
        <w:trPr>
          <w:trHeight w:val="134"/>
        </w:trPr>
        <w:tc>
          <w:tcPr>
            <w:tcW w:w="772" w:type="pct"/>
          </w:tcPr>
          <w:p w:rsidR="00D50233" w:rsidRPr="00E009FD" w:rsidRDefault="00D50233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3046" w:type="pct"/>
          </w:tcPr>
          <w:p w:rsidR="00D50233" w:rsidRPr="00E009FD" w:rsidRDefault="00D50233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50233" w:rsidRPr="00D50233" w:rsidRDefault="008F6313" w:rsidP="00D5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D50233" w:rsidRPr="00E009FD" w:rsidRDefault="00D50233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433"/>
        </w:trPr>
        <w:tc>
          <w:tcPr>
            <w:tcW w:w="77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009FD" w:rsidRPr="00D50233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E009FD" w:rsidRPr="00E009FD" w:rsidRDefault="005B61E9" w:rsidP="00D50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09FD" w:rsidRPr="0013620F" w:rsidRDefault="00E009FD" w:rsidP="00B31D87">
      <w:pPr>
        <w:rPr>
          <w:rFonts w:ascii="Times New Roman" w:hAnsi="Times New Roman"/>
          <w:sz w:val="24"/>
          <w:szCs w:val="24"/>
        </w:rPr>
        <w:sectPr w:rsidR="00E009FD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="008F6313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</w:t>
      </w:r>
      <w:r w:rsidR="008F6313">
        <w:rPr>
          <w:rFonts w:ascii="Times New Roman" w:hAnsi="Times New Roman"/>
          <w:bCs/>
          <w:sz w:val="24"/>
          <w:szCs w:val="24"/>
        </w:rPr>
        <w:t>ции программы учебного предмета</w:t>
      </w:r>
      <w:r w:rsidRPr="0013620F">
        <w:rPr>
          <w:rFonts w:ascii="Times New Roman" w:hAnsi="Times New Roman"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8329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      .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8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9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0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78329A">
        <w:rPr>
          <w:b/>
          <w:bCs/>
          <w:szCs w:val="24"/>
        </w:rPr>
        <w:t>3.2.3. Дополнительные источники (печатные издания)</w:t>
      </w:r>
      <w:r w:rsidRPr="0078329A">
        <w:rPr>
          <w:bCs/>
          <w:szCs w:val="24"/>
        </w:rPr>
        <w:t xml:space="preserve"> </w:t>
      </w:r>
    </w:p>
    <w:p w:rsidR="00B31D87" w:rsidRPr="0078329A" w:rsidRDefault="0078329A" w:rsidP="00B31D87">
      <w:pPr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     1.Безопасность жизнедеятельности: учебник / Н.В. Косолапова, Н.А. Прокопенко, Е.Л. Побежимова. - М.: ИЦ Академия, 2017      . - 288 с. - (Профессиональное образование).</w:t>
      </w: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</w:t>
      </w:r>
      <w:r w:rsidR="008F6313">
        <w:rPr>
          <w:rFonts w:ascii="Times New Roman" w:hAnsi="Times New Roman"/>
          <w:b/>
          <w:sz w:val="24"/>
          <w:szCs w:val="24"/>
        </w:rPr>
        <w:t>АТОВ ОСВОЕНИЯ УЧЕБНОГО ПРЕДМЕТА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751"/>
        <w:gridCol w:w="2973"/>
      </w:tblGrid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D818E3" w:rsidRPr="00D818E3" w:rsidRDefault="00B31D87" w:rsidP="00D818E3">
            <w:pPr>
              <w:pStyle w:val="af2"/>
              <w:keepNext/>
              <w:ind w:firstLine="567"/>
              <w:jc w:val="both"/>
              <w:rPr>
                <w:sz w:val="20"/>
                <w:szCs w:val="20"/>
              </w:rPr>
            </w:pPr>
            <w:r w:rsidRPr="0093422B">
              <w:rPr>
                <w:sz w:val="20"/>
                <w:szCs w:val="20"/>
              </w:rPr>
              <w:t xml:space="preserve"> </w:t>
            </w:r>
            <w:r w:rsidR="00D818E3" w:rsidRPr="00D818E3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31D87" w:rsidRPr="0093422B" w:rsidRDefault="00D818E3" w:rsidP="00D818E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  <w:r w:rsidR="00D818E3">
              <w:rPr>
                <w:rFonts w:ascii="Times New Roman" w:hAnsi="Times New Roman"/>
                <w:sz w:val="20"/>
                <w:szCs w:val="20"/>
              </w:rPr>
              <w:t>ответов, точность формулировок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D6503F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93422B" w:rsidRDefault="00D818E3" w:rsidP="00D81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-письменных/ устных ответов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 xml:space="preserve">применять первичные средства </w:t>
            </w:r>
            <w:r w:rsidRPr="003D74B5">
              <w:rPr>
                <w:rFonts w:ascii="Times New Roman" w:hAnsi="Times New Roman"/>
                <w:sz w:val="20"/>
                <w:szCs w:val="20"/>
              </w:rPr>
              <w:lastRenderedPageBreak/>
              <w:t>пожаротушения;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31D87" w:rsidRPr="0093422B" w:rsidRDefault="003D74B5" w:rsidP="003D74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5">
              <w:rPr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Рациональность действий  и т.д.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оценка заданий для самостоятельной  работы,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7E" w:rsidRDefault="00E17D7E" w:rsidP="00B31D87">
      <w:pPr>
        <w:spacing w:after="0" w:line="240" w:lineRule="auto"/>
      </w:pPr>
      <w:r>
        <w:separator/>
      </w:r>
    </w:p>
  </w:endnote>
  <w:endnote w:type="continuationSeparator" w:id="0">
    <w:p w:rsidR="00E17D7E" w:rsidRDefault="00E17D7E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73134B" w:rsidRDefault="001017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34B" w:rsidRDefault="007313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8E7358">
      <w:rPr>
        <w:noProof/>
      </w:rPr>
      <w:t>11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7E" w:rsidRDefault="00E17D7E" w:rsidP="00B31D87">
      <w:pPr>
        <w:spacing w:after="0" w:line="240" w:lineRule="auto"/>
      </w:pPr>
      <w:r>
        <w:separator/>
      </w:r>
    </w:p>
  </w:footnote>
  <w:footnote w:type="continuationSeparator" w:id="0">
    <w:p w:rsidR="00E17D7E" w:rsidRDefault="00E17D7E" w:rsidP="00B3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1017FD"/>
    <w:rsid w:val="00163D68"/>
    <w:rsid w:val="001B135C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513FE6"/>
    <w:rsid w:val="00542798"/>
    <w:rsid w:val="005925AB"/>
    <w:rsid w:val="005A2B04"/>
    <w:rsid w:val="005B61E9"/>
    <w:rsid w:val="005D5123"/>
    <w:rsid w:val="006342B8"/>
    <w:rsid w:val="00673737"/>
    <w:rsid w:val="006A6C4B"/>
    <w:rsid w:val="0070174E"/>
    <w:rsid w:val="007153F0"/>
    <w:rsid w:val="0073134B"/>
    <w:rsid w:val="00741F62"/>
    <w:rsid w:val="0078329A"/>
    <w:rsid w:val="008130EE"/>
    <w:rsid w:val="00850AAD"/>
    <w:rsid w:val="0086410B"/>
    <w:rsid w:val="008E7358"/>
    <w:rsid w:val="008F6313"/>
    <w:rsid w:val="0093422B"/>
    <w:rsid w:val="00994F89"/>
    <w:rsid w:val="009B2829"/>
    <w:rsid w:val="009B4F05"/>
    <w:rsid w:val="009C0654"/>
    <w:rsid w:val="009F2340"/>
    <w:rsid w:val="00A07C95"/>
    <w:rsid w:val="00A24C1D"/>
    <w:rsid w:val="00A360BE"/>
    <w:rsid w:val="00A36EDD"/>
    <w:rsid w:val="00A65209"/>
    <w:rsid w:val="00A7236B"/>
    <w:rsid w:val="00A90687"/>
    <w:rsid w:val="00AD2BD5"/>
    <w:rsid w:val="00B31D87"/>
    <w:rsid w:val="00BA080B"/>
    <w:rsid w:val="00BA75F9"/>
    <w:rsid w:val="00C85339"/>
    <w:rsid w:val="00D04594"/>
    <w:rsid w:val="00D50233"/>
    <w:rsid w:val="00D6503F"/>
    <w:rsid w:val="00D818E3"/>
    <w:rsid w:val="00D966B2"/>
    <w:rsid w:val="00DD773A"/>
    <w:rsid w:val="00E009FD"/>
    <w:rsid w:val="00E17D7E"/>
    <w:rsid w:val="00E255AA"/>
    <w:rsid w:val="00E658B8"/>
    <w:rsid w:val="00E77933"/>
    <w:rsid w:val="00E955ED"/>
    <w:rsid w:val="00E96459"/>
    <w:rsid w:val="00EE5BFD"/>
    <w:rsid w:val="00EF440E"/>
    <w:rsid w:val="00F1253B"/>
    <w:rsid w:val="00F37165"/>
    <w:rsid w:val="00F91523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A181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srussia.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65</cp:revision>
  <dcterms:created xsi:type="dcterms:W3CDTF">2019-12-10T06:19:00Z</dcterms:created>
  <dcterms:modified xsi:type="dcterms:W3CDTF">2023-11-09T13:33:00Z</dcterms:modified>
</cp:coreProperties>
</file>