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16" w:rsidRPr="00676F09" w:rsidRDefault="00B86028" w:rsidP="00676F09">
      <w:pPr>
        <w:spacing w:after="40"/>
        <w:jc w:val="center"/>
        <w:outlineLvl w:val="0"/>
        <w:rPr>
          <w:sz w:val="22"/>
          <w:szCs w:val="22"/>
        </w:rPr>
      </w:pPr>
      <w:r w:rsidRPr="00676F09">
        <w:rPr>
          <w:b/>
          <w:bCs/>
          <w:sz w:val="22"/>
          <w:szCs w:val="22"/>
        </w:rPr>
        <w:t>ПРЕДЛОЖЕНИЕ</w:t>
      </w:r>
      <w:r w:rsidRPr="00676F09">
        <w:rPr>
          <w:b/>
          <w:bCs/>
          <w:sz w:val="22"/>
          <w:szCs w:val="22"/>
        </w:rPr>
        <w:br/>
        <w:t>о заключении договора о целевом обучении</w:t>
      </w:r>
      <w:r w:rsidRPr="00676F09"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:rsidR="002E1B16" w:rsidRPr="00676F09" w:rsidRDefault="00B86028">
      <w:pPr>
        <w:ind w:firstLine="397"/>
        <w:rPr>
          <w:sz w:val="22"/>
          <w:szCs w:val="22"/>
        </w:rPr>
      </w:pPr>
      <w:r w:rsidRPr="00676F09">
        <w:rPr>
          <w:sz w:val="22"/>
          <w:szCs w:val="22"/>
        </w:rPr>
        <w:t>I. Общие сведения: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1. Идентификационный номер предложения на Единой цифровой платформе в сфере занятости и трудовых отношений «Работа 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«Работа в России»): _______________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:rsidR="002E1B16" w:rsidRPr="00676F09" w:rsidRDefault="00B86028">
      <w:pPr>
        <w:ind w:firstLine="397"/>
        <w:jc w:val="both"/>
        <w:rPr>
          <w:b/>
          <w:spacing w:val="2"/>
          <w:sz w:val="22"/>
          <w:szCs w:val="22"/>
        </w:rPr>
      </w:pPr>
      <w:r w:rsidRPr="00676F09">
        <w:rPr>
          <w:sz w:val="22"/>
          <w:szCs w:val="22"/>
        </w:rPr>
        <w:t xml:space="preserve">3. Полное наименование заказчика: </w:t>
      </w:r>
      <w:r w:rsidR="00F01787" w:rsidRPr="00676F09">
        <w:rPr>
          <w:b/>
          <w:sz w:val="22"/>
          <w:szCs w:val="22"/>
        </w:rPr>
        <w:t xml:space="preserve">Казенное учреждение Чувашской </w:t>
      </w:r>
      <w:r w:rsidRPr="00676F09">
        <w:rPr>
          <w:b/>
          <w:sz w:val="22"/>
          <w:szCs w:val="22"/>
        </w:rPr>
        <w:t xml:space="preserve">Республики </w:t>
      </w:r>
      <w:r w:rsidRPr="00676F09">
        <w:rPr>
          <w:b/>
          <w:spacing w:val="2"/>
          <w:sz w:val="22"/>
          <w:szCs w:val="22"/>
        </w:rPr>
        <w:t>«Республиканский центр бухгалтерского учета»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4. Срок действия предложения (не более одного года).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 w:rsidRPr="00676F09">
        <w:rPr>
          <w:b/>
          <w:bCs/>
          <w:sz w:val="22"/>
          <w:szCs w:val="22"/>
        </w:rPr>
        <w:t>1.</w:t>
      </w:r>
    </w:p>
    <w:p w:rsidR="002E1B16" w:rsidRPr="00676F09" w:rsidRDefault="00B86028">
      <w:pPr>
        <w:ind w:firstLine="397"/>
        <w:rPr>
          <w:sz w:val="22"/>
          <w:szCs w:val="22"/>
        </w:rPr>
      </w:pPr>
      <w:r w:rsidRPr="00676F09">
        <w:rPr>
          <w:sz w:val="22"/>
          <w:szCs w:val="22"/>
          <w:lang w:val="en-US"/>
        </w:rPr>
        <w:t>II</w:t>
      </w:r>
      <w:r w:rsidRPr="00676F09">
        <w:rPr>
          <w:sz w:val="22"/>
          <w:szCs w:val="22"/>
        </w:rPr>
        <w:t>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Предложение адресовано гражданам (указать нужное):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поступающим на целевое обучение по образовательным программам среднего профессионального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  <w:lang w:val="en-US"/>
        </w:rPr>
        <w:t>III</w:t>
      </w:r>
      <w:r w:rsidRPr="00676F09">
        <w:rPr>
          <w:sz w:val="22"/>
          <w:szCs w:val="22"/>
        </w:rPr>
        <w:t>. 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1. Требование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 w:rsidRPr="00676F09">
        <w:rPr>
          <w:b/>
          <w:iCs/>
          <w:sz w:val="22"/>
          <w:szCs w:val="22"/>
        </w:rPr>
        <w:t>нет</w:t>
      </w:r>
      <w:r w:rsidRPr="00676F09">
        <w:rPr>
          <w:sz w:val="22"/>
          <w:szCs w:val="22"/>
        </w:rPr>
        <w:t>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2. Требование в части отсутствия у гражданина медицинских противопоказаний к осуществлению трудовой деятельности в соответствии с договором о целевом обучении: </w:t>
      </w:r>
      <w:r w:rsidRPr="00676F09">
        <w:rPr>
          <w:b/>
          <w:bCs/>
          <w:sz w:val="22"/>
          <w:szCs w:val="22"/>
        </w:rPr>
        <w:t>нет.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 w:rsidRPr="00676F09">
        <w:rPr>
          <w:b/>
          <w:iCs/>
          <w:sz w:val="22"/>
          <w:szCs w:val="22"/>
        </w:rPr>
        <w:t>нет</w:t>
      </w:r>
      <w:r w:rsidRPr="00676F09">
        <w:rPr>
          <w:sz w:val="22"/>
          <w:szCs w:val="22"/>
        </w:rPr>
        <w:t>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4. Иные требования в отношении допуска гражданина к осуществлению трудовой деятельности.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 w:rsidRPr="00676F09">
        <w:rPr>
          <w:b/>
          <w:iCs/>
          <w:sz w:val="22"/>
          <w:szCs w:val="22"/>
        </w:rPr>
        <w:t>да</w:t>
      </w:r>
      <w:r w:rsidRPr="00676F09">
        <w:rPr>
          <w:sz w:val="22"/>
          <w:szCs w:val="22"/>
        </w:rPr>
        <w:t>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 w:rsidRPr="00676F09">
        <w:rPr>
          <w:b/>
          <w:bCs/>
          <w:sz w:val="22"/>
          <w:szCs w:val="22"/>
        </w:rPr>
        <w:t>до 10 августа;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ссылка на объявление о проведении конкурса, размещенное в информационно-телекоммуникационной сети «Интернет»: </w:t>
      </w:r>
      <w:r w:rsidRPr="00676F09">
        <w:rPr>
          <w:b/>
          <w:bCs/>
          <w:sz w:val="22"/>
          <w:szCs w:val="22"/>
        </w:rPr>
        <w:t>нет.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  <w:lang w:val="en-US"/>
        </w:rPr>
        <w:t>IV</w:t>
      </w:r>
      <w:r w:rsidRPr="00676F09">
        <w:rPr>
          <w:sz w:val="22"/>
          <w:szCs w:val="22"/>
        </w:rPr>
        <w:t>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</w:t>
      </w:r>
      <w:r w:rsidRPr="00676F09">
        <w:rPr>
          <w:sz w:val="22"/>
          <w:szCs w:val="22"/>
        </w:rPr>
        <w:lastRenderedPageBreak/>
        <w:t>г. № 555 «О целевом обучении по образовательным программам среднего профессионального и высшего образования»)</w:t>
      </w:r>
      <w:r w:rsidRPr="00676F09">
        <w:rPr>
          <w:rStyle w:val="af0"/>
          <w:sz w:val="22"/>
          <w:szCs w:val="22"/>
        </w:rPr>
        <w:endnoteReference w:customMarkFollows="1" w:id="1"/>
        <w:t>1</w:t>
      </w:r>
      <w:r w:rsidRPr="00676F09">
        <w:rPr>
          <w:sz w:val="22"/>
          <w:szCs w:val="22"/>
        </w:rPr>
        <w:t>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1.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а)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профессия, специальность, направление подготовки, научная специальность, по которой гражданин должен освоить основную образовательную программу: </w:t>
      </w:r>
      <w:r w:rsidRPr="00676F09">
        <w:rPr>
          <w:b/>
          <w:bCs/>
          <w:sz w:val="22"/>
          <w:szCs w:val="22"/>
        </w:rPr>
        <w:t>38.02.01 Экономика и бухгалтерский учет (по отраслям);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б)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 w:rsidRPr="00676F09">
        <w:rPr>
          <w:b/>
          <w:sz w:val="22"/>
          <w:szCs w:val="22"/>
        </w:rPr>
        <w:t>Государственное автономное профессиональное 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  <w:r w:rsidRPr="00676F09">
        <w:rPr>
          <w:sz w:val="22"/>
          <w:szCs w:val="22"/>
        </w:rPr>
        <w:t>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иных случаях указывается по решению заказчика): </w:t>
      </w:r>
      <w:r w:rsidRPr="00676F09"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  <w:bookmarkStart w:id="0" w:name="_GoBack"/>
      <w:bookmarkEnd w:id="0"/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в)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 </w:t>
      </w:r>
      <w:r w:rsidRPr="00676F09">
        <w:rPr>
          <w:b/>
          <w:sz w:val="22"/>
          <w:szCs w:val="22"/>
        </w:rPr>
        <w:t>очная;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д)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образовательная программа среднего профессионального образования, реализуемая на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базе </w:t>
      </w:r>
      <w:r w:rsidRPr="00676F09">
        <w:rPr>
          <w:b/>
          <w:sz w:val="22"/>
          <w:szCs w:val="22"/>
        </w:rPr>
        <w:t xml:space="preserve">основного общего </w:t>
      </w:r>
      <w:r w:rsidRPr="00676F09">
        <w:rPr>
          <w:sz w:val="22"/>
          <w:szCs w:val="22"/>
        </w:rPr>
        <w:t>образования;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е)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 w:rsidRPr="00676F09">
        <w:rPr>
          <w:b/>
          <w:sz w:val="22"/>
          <w:szCs w:val="22"/>
        </w:rPr>
        <w:t>да.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2.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Год завершения освоения гражданином основной образовательной программы: </w:t>
      </w:r>
      <w:r w:rsidR="00F01787" w:rsidRPr="00676F09">
        <w:rPr>
          <w:b/>
          <w:bCs/>
          <w:sz w:val="22"/>
          <w:szCs w:val="22"/>
        </w:rPr>
        <w:t>2</w:t>
      </w:r>
      <w:r w:rsidRPr="00676F09">
        <w:rPr>
          <w:b/>
          <w:bCs/>
          <w:sz w:val="22"/>
          <w:szCs w:val="22"/>
        </w:rPr>
        <w:t>029 год.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3. Сведения об осуществлении трудовой деятельности в соответствии с договором о целевом обучении: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трудовая деятельность</w:t>
      </w:r>
      <w:r w:rsidRPr="00676F09">
        <w:rPr>
          <w:rStyle w:val="af0"/>
          <w:sz w:val="22"/>
          <w:szCs w:val="22"/>
        </w:rPr>
        <w:endnoteReference w:customMarkFollows="1" w:id="2"/>
        <w:t>3</w:t>
      </w:r>
      <w:r w:rsidRPr="00676F09">
        <w:rPr>
          <w:sz w:val="22"/>
          <w:szCs w:val="22"/>
        </w:rPr>
        <w:t xml:space="preserve">: </w:t>
      </w:r>
      <w:r w:rsidRPr="00676F09">
        <w:rPr>
          <w:b/>
          <w:sz w:val="22"/>
          <w:szCs w:val="22"/>
        </w:rPr>
        <w:t xml:space="preserve">Казенное учреждение Чувашской  Республики </w:t>
      </w:r>
      <w:r w:rsidRPr="00676F09">
        <w:rPr>
          <w:b/>
          <w:spacing w:val="2"/>
          <w:sz w:val="22"/>
          <w:szCs w:val="22"/>
        </w:rPr>
        <w:t>«Республиканский центр бухгалтерского учета»</w:t>
      </w:r>
      <w:r w:rsidRPr="00676F09">
        <w:rPr>
          <w:sz w:val="22"/>
          <w:szCs w:val="22"/>
        </w:rPr>
        <w:t>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б)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территориальная характеристика места осуществления трудовой деятельности (заполняется один из вариантов по решению заказчика):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 w:rsidRPr="00676F09">
        <w:rPr>
          <w:b/>
          <w:bCs/>
          <w:sz w:val="22"/>
          <w:szCs w:val="22"/>
          <w:lang w:eastAsia="zh-CN"/>
        </w:rPr>
        <w:t>428004, Чуваш</w:t>
      </w:r>
      <w:r w:rsidR="00F01787" w:rsidRPr="00676F09">
        <w:rPr>
          <w:b/>
          <w:bCs/>
          <w:sz w:val="22"/>
          <w:szCs w:val="22"/>
          <w:lang w:eastAsia="zh-CN"/>
        </w:rPr>
        <w:t xml:space="preserve">ская Республика, г. Чебоксары, </w:t>
      </w:r>
      <w:r w:rsidRPr="00676F09">
        <w:rPr>
          <w:b/>
          <w:bCs/>
          <w:sz w:val="22"/>
          <w:szCs w:val="22"/>
          <w:lang w:eastAsia="zh-CN"/>
        </w:rPr>
        <w:t xml:space="preserve">площадь Республики, дом </w:t>
      </w:r>
      <w:proofErr w:type="gramStart"/>
      <w:r w:rsidRPr="00676F09">
        <w:rPr>
          <w:b/>
          <w:bCs/>
          <w:sz w:val="22"/>
          <w:szCs w:val="22"/>
          <w:lang w:eastAsia="zh-CN"/>
        </w:rPr>
        <w:t xml:space="preserve">2 </w:t>
      </w:r>
      <w:r w:rsidRPr="00676F09">
        <w:rPr>
          <w:b/>
          <w:bCs/>
          <w:sz w:val="22"/>
          <w:szCs w:val="22"/>
        </w:rPr>
        <w:t>;</w:t>
      </w:r>
      <w:proofErr w:type="gramEnd"/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в)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основной вид деятельности организации, в которой будет осуществляться трудовая деятельность: </w:t>
      </w:r>
      <w:r w:rsidRPr="00676F09">
        <w:rPr>
          <w:rStyle w:val="FontStyle29"/>
          <w:b/>
          <w:bCs/>
        </w:rPr>
        <w:t xml:space="preserve">деятельность по оказанию услуг в области бухгалтерского учета (ОКВЭД2 - </w:t>
      </w:r>
      <w:r w:rsidRPr="00676F09">
        <w:rPr>
          <w:rStyle w:val="FontStyle29"/>
          <w:b/>
          <w:bCs/>
          <w:spacing w:val="-2"/>
        </w:rPr>
        <w:t>69.20.2)</w:t>
      </w:r>
      <w:r w:rsidRPr="00676F09">
        <w:rPr>
          <w:b/>
          <w:bCs/>
          <w:sz w:val="22"/>
          <w:szCs w:val="22"/>
        </w:rPr>
        <w:t>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г)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организационно-правовая форма (формы) организации, в которой будет осуществляться трудовая деятельность:</w:t>
      </w:r>
      <w:r w:rsidRPr="00676F09">
        <w:rPr>
          <w:b/>
          <w:bCs/>
          <w:sz w:val="22"/>
          <w:szCs w:val="22"/>
        </w:rPr>
        <w:t xml:space="preserve"> некоммерческая унитарная организация;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д)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срок осуществления трудовой деятельности в соответствии с договором о целевом обучении: </w:t>
      </w:r>
      <w:r w:rsidRPr="00676F09">
        <w:rPr>
          <w:b/>
          <w:sz w:val="22"/>
          <w:szCs w:val="22"/>
        </w:rPr>
        <w:t>не менее 3 лет</w:t>
      </w:r>
      <w:r w:rsidRPr="00676F09">
        <w:rPr>
          <w:sz w:val="22"/>
          <w:szCs w:val="22"/>
        </w:rPr>
        <w:t>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е)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условия оплаты труда в период осуществления трудовой деятельности (указываются по решению заказчика):</w:t>
      </w:r>
      <w:r w:rsidRPr="00676F09">
        <w:rPr>
          <w:b/>
          <w:bCs/>
          <w:sz w:val="22"/>
          <w:szCs w:val="22"/>
        </w:rPr>
        <w:t xml:space="preserve"> 30355 руб., выплаты стимулирующего характера</w:t>
      </w:r>
      <w:r w:rsidRPr="00676F09">
        <w:rPr>
          <w:sz w:val="22"/>
          <w:szCs w:val="22"/>
        </w:rPr>
        <w:t>;</w:t>
      </w:r>
    </w:p>
    <w:p w:rsidR="002E1B16" w:rsidRPr="00676F09" w:rsidRDefault="00B86028">
      <w:pPr>
        <w:ind w:firstLine="397"/>
        <w:jc w:val="both"/>
        <w:rPr>
          <w:sz w:val="22"/>
          <w:szCs w:val="22"/>
          <w:highlight w:val="yellow"/>
        </w:rPr>
      </w:pPr>
      <w:r w:rsidRPr="00676F09">
        <w:rPr>
          <w:sz w:val="22"/>
          <w:szCs w:val="22"/>
        </w:rPr>
        <w:t>ж)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 </w:t>
      </w:r>
      <w:r w:rsidRPr="00676F09">
        <w:rPr>
          <w:b/>
          <w:bCs/>
          <w:sz w:val="22"/>
          <w:szCs w:val="22"/>
        </w:rPr>
        <w:t>в случае изменения адреса (места расположения) заказчика;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з)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иные условия осуществления трудовой деятельности</w:t>
      </w:r>
      <w:r w:rsidRPr="00676F09">
        <w:rPr>
          <w:rStyle w:val="af0"/>
          <w:sz w:val="22"/>
          <w:szCs w:val="22"/>
        </w:rPr>
        <w:endnoteReference w:customMarkFollows="1" w:id="3"/>
        <w:t>4</w:t>
      </w:r>
      <w:r w:rsidRPr="00676F09">
        <w:rPr>
          <w:sz w:val="22"/>
          <w:szCs w:val="22"/>
        </w:rPr>
        <w:t xml:space="preserve"> (указываются по решению заказчика).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4.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Сведения о 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а)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меры поддержки, предоставляемые гражданину в период обучения</w:t>
      </w:r>
      <w:r w:rsidRPr="00676F09">
        <w:rPr>
          <w:rStyle w:val="af0"/>
          <w:sz w:val="22"/>
          <w:szCs w:val="22"/>
        </w:rPr>
        <w:endnoteReference w:customMarkFollows="1" w:id="4"/>
        <w:t>5</w:t>
      </w:r>
      <w:r w:rsidRPr="00676F09">
        <w:rPr>
          <w:sz w:val="22"/>
          <w:szCs w:val="22"/>
        </w:rPr>
        <w:t xml:space="preserve">: </w:t>
      </w:r>
      <w:r w:rsidRPr="00676F09">
        <w:rPr>
          <w:b/>
          <w:bCs/>
          <w:sz w:val="22"/>
          <w:szCs w:val="22"/>
        </w:rPr>
        <w:t>500 руб.;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б)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меры социальной поддержки, социальные гарантии и выплаты в период осуществления трудовой деятельности, установленные законодательством Российской Федерации, законами и </w:t>
      </w:r>
      <w:r w:rsidRPr="00676F09">
        <w:rPr>
          <w:sz w:val="22"/>
          <w:szCs w:val="22"/>
        </w:rPr>
        <w:lastRenderedPageBreak/>
        <w:t>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 (указываются при наличии);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в)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 и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(или) работодателей (указываются при наличии).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5.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Условия о прохождении гражданином практической подготовки у заказчика или работодателя и о сопровождении гражданина наставником:</w:t>
      </w:r>
      <w:r w:rsidRPr="00676F09">
        <w:rPr>
          <w:b/>
          <w:bCs/>
          <w:sz w:val="22"/>
          <w:szCs w:val="22"/>
        </w:rPr>
        <w:t xml:space="preserve"> при необходимости.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6.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Требования к успеваемости 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а)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требования к успеваемости с указанием критериев их исполнения, в том числе в отношении отдельных дисциплин (модулей) и (или) практики: </w:t>
      </w:r>
      <w:r w:rsidRPr="00676F09">
        <w:rPr>
          <w:b/>
          <w:bCs/>
          <w:sz w:val="22"/>
          <w:szCs w:val="22"/>
        </w:rPr>
        <w:t>средний балл по результатам промежуточной аттестации не ниже 4,0;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б)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порядок сокращения мер поддержки при невыполнении требований к успеваемости: </w:t>
      </w:r>
    </w:p>
    <w:p w:rsidR="002E1B16" w:rsidRPr="00676F09" w:rsidRDefault="00B86028">
      <w:pPr>
        <w:pStyle w:val="ConsPlusNormal"/>
        <w:spacing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Ежемесячная денежная выплата приостанавливается в случае: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1) нахождения граждан, обучающихся по договору о целевом обучении в академическом отпуске, а также в отпуске по беременности и родам, отпуске по уходу за ребенком на весь период соответствующего отпуска;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2) в случае прохождения гражданином военной службы по мобилизации на весь период прохождения военной службы по мобилизации;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3) наличия у граждан, обучающихся по договору о целевом обучении академической задолженности;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b/>
          <w:bCs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4) в случае непредставления документов, подтверждающих отсутствие академической задолженности в сроки, установленные порядком.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Ежемесячная денежная выплата прекращается в случае: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1) отчисления граждан, обучающихся по договору о целевом обучении из образовательной организации независимо от причины отчисления;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2) расторжения договора о целевом обучении по инициативе граждан, обучающихся по договору о целевом обучении до окончания обучения;</w:t>
      </w:r>
    </w:p>
    <w:p w:rsidR="002E1B16" w:rsidRPr="00676F09" w:rsidRDefault="00B86028">
      <w:pPr>
        <w:pStyle w:val="ConsPlusNormal"/>
        <w:spacing w:before="240" w:after="200"/>
        <w:ind w:firstLine="709"/>
        <w:contextualSpacing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3) в случае, если средний балл по результатам промежуточной аттестации ниже 4,0;</w:t>
      </w:r>
    </w:p>
    <w:p w:rsidR="002E1B16" w:rsidRPr="00676F09" w:rsidRDefault="00B860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4)  при наличии академической задолженности.</w:t>
      </w:r>
    </w:p>
    <w:p w:rsidR="002E1B16" w:rsidRPr="00676F09" w:rsidRDefault="00B8602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Прекращение ежемесячной денежной выплаты осуществляется с 1-го числа месяца, следующего за месяцем, в котором наступили обстоятельства, предусмотренные порядком.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в)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условия и порядок восстановления мер поддержки: </w:t>
      </w:r>
      <w:r w:rsidRPr="00676F09">
        <w:rPr>
          <w:b/>
          <w:bCs/>
          <w:sz w:val="22"/>
          <w:szCs w:val="22"/>
        </w:rPr>
        <w:t>возобновление ежемесячной денежной выплаты осуществляется со дня, когда устранены обстоятельства, по которым выплата ежемесячной денежной выплаты была приостановлена.</w:t>
      </w:r>
    </w:p>
    <w:p w:rsidR="002E1B16" w:rsidRPr="00676F09" w:rsidRDefault="00676F09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7</w:t>
      </w:r>
      <w:r w:rsidR="00B86028" w:rsidRPr="00676F09">
        <w:rPr>
          <w:sz w:val="22"/>
          <w:szCs w:val="22"/>
        </w:rPr>
        <w:t>.</w:t>
      </w:r>
      <w:r w:rsidR="00B86028" w:rsidRPr="00676F09">
        <w:rPr>
          <w:sz w:val="22"/>
          <w:szCs w:val="22"/>
          <w:lang w:val="en-US"/>
        </w:rPr>
        <w:t> </w:t>
      </w:r>
      <w:r w:rsidR="00B86028" w:rsidRPr="00676F09">
        <w:rPr>
          <w:sz w:val="22"/>
          <w:szCs w:val="22"/>
        </w:rPr>
        <w:t>Требования к лицам, осуществляющим трудовую деятельность, указанную в настоящем предложении (указываются при наличии).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V.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 xml:space="preserve">В случае неисполнения обязательств по договору о целевом обучении стороны договора о целевом обучении несут ответственность: </w:t>
      </w:r>
      <w:r w:rsidRPr="00676F09">
        <w:rPr>
          <w:b/>
          <w:bCs/>
          <w:sz w:val="22"/>
          <w:szCs w:val="22"/>
        </w:rPr>
        <w:t xml:space="preserve">в случае неисполнения обязательств по освоению образовательной программы среднего профессионального и </w:t>
      </w:r>
      <w:proofErr w:type="gramStart"/>
      <w:r w:rsidRPr="00676F09">
        <w:rPr>
          <w:b/>
          <w:bCs/>
          <w:sz w:val="22"/>
          <w:szCs w:val="22"/>
        </w:rPr>
        <w:t>высшего профессионального образования</w:t>
      </w:r>
      <w:proofErr w:type="gramEnd"/>
      <w:r w:rsidRPr="00676F09">
        <w:rPr>
          <w:b/>
          <w:bCs/>
          <w:sz w:val="22"/>
          <w:szCs w:val="22"/>
        </w:rPr>
        <w:t xml:space="preserve"> и отчисления из образовательной организации, а также обязательств по осуществлению трудовой деятельности в течение 3 лет в соответствии с полученной квалификацией расторгается договор о целевом обучении. Граждане, обучающиеся по договору </w:t>
      </w:r>
      <w:proofErr w:type="gramStart"/>
      <w:r w:rsidRPr="00676F09">
        <w:rPr>
          <w:b/>
          <w:bCs/>
          <w:sz w:val="22"/>
          <w:szCs w:val="22"/>
        </w:rPr>
        <w:t>о це</w:t>
      </w:r>
      <w:r w:rsidRPr="00676F09">
        <w:rPr>
          <w:b/>
          <w:bCs/>
          <w:sz w:val="22"/>
          <w:szCs w:val="22"/>
        </w:rPr>
        <w:lastRenderedPageBreak/>
        <w:t>левом обучении</w:t>
      </w:r>
      <w:proofErr w:type="gramEnd"/>
      <w:r w:rsidRPr="00676F09">
        <w:rPr>
          <w:b/>
          <w:bCs/>
          <w:sz w:val="22"/>
          <w:szCs w:val="22"/>
        </w:rPr>
        <w:t xml:space="preserve"> возмещают расходы, связанные с предоставлением мер поддержки, в срок до 3 месяцев с даты расторжения договора о целевом обучении.</w:t>
      </w:r>
    </w:p>
    <w:p w:rsidR="002E1B16" w:rsidRPr="00676F09" w:rsidRDefault="00B860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>Возврат денежных средств осуществляется в республиканский бюджет Чувашской Республики на счет, указанный в требовании о возврате денежных средств.</w:t>
      </w:r>
    </w:p>
    <w:p w:rsidR="002E1B16" w:rsidRPr="00676F09" w:rsidRDefault="00B860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szCs w:val="22"/>
        </w:rPr>
        <w:t xml:space="preserve"> В случае, если возврат денежных средств не осуществляется в добровольном порядке, взыскание производится в судебном порядке в соответствии с действующим законодательством.</w:t>
      </w:r>
    </w:p>
    <w:p w:rsidR="002E1B16" w:rsidRPr="00676F09" w:rsidRDefault="00B8602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676F09">
        <w:rPr>
          <w:rFonts w:ascii="Times New Roman" w:hAnsi="Times New Roman" w:cs="Times New Roman"/>
          <w:b/>
          <w:bCs/>
          <w:color w:val="000000"/>
          <w:szCs w:val="22"/>
        </w:rPr>
        <w:t xml:space="preserve">В случае неисполнения заказчиком обязательств по трудоустройству гражданина или расторжения им договора о целевом обучении в одностороннем порядке, заказчик выплачивает гражданину компенсацию. Размер компенсации составляет трехкратную среднемесячную начисленную заработную плату в субъекте Российской Федерации, на территории которого гражданин должен был быть трудоустроен. 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V</w:t>
      </w:r>
      <w:r w:rsidRPr="00676F09">
        <w:rPr>
          <w:sz w:val="22"/>
          <w:szCs w:val="22"/>
          <w:vertAlign w:val="superscript"/>
        </w:rPr>
        <w:t>1</w:t>
      </w:r>
      <w:r w:rsidRPr="00676F09">
        <w:rPr>
          <w:sz w:val="22"/>
          <w:szCs w:val="22"/>
        </w:rPr>
        <w:t>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Проведение заказчиком мероприятий по профессиональной ориентации граждан, участие в которых рассматривается как индивидуальное достижение при приеме на целевое обучение в пределах установленной квоты с начислением баллов.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V</w:t>
      </w:r>
      <w:r w:rsidRPr="00676F09">
        <w:rPr>
          <w:sz w:val="22"/>
          <w:szCs w:val="22"/>
          <w:vertAlign w:val="superscript"/>
        </w:rPr>
        <w:t>2</w:t>
      </w:r>
      <w:r w:rsidRPr="00676F09">
        <w:rPr>
          <w:sz w:val="22"/>
          <w:szCs w:val="22"/>
        </w:rPr>
        <w:t>. Предложение адресовано гражданам, которые имеют договор о целевом обучении с лицом, являющимся заказчиком по настоящему предложению (далее — предшествующий договор), и хотят заключить с указанным лицом договор о целевом обучении, предусматривающий освоение образовательной программы следующего уровня (далее — следующий договор) (указывается в предложении в случае, если заказчик намерен заключить следующий договор).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Гражданин вправе подать заявку на заключение договора о целевом обучении в соответствии с предложением при условии выполнения следующих требований: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 xml:space="preserve">гражданин в соответствии с предшествующим договором завершил (завершит в текущем учебном году) освоение </w:t>
      </w:r>
      <w:r w:rsidRPr="00676F09">
        <w:rPr>
          <w:b/>
          <w:sz w:val="22"/>
          <w:szCs w:val="22"/>
        </w:rPr>
        <w:t>«среднего профессионального образования — подготовка квалифицированных рабочих, служащих»;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срок исполнения гражданином обязательства по осуществлению трудовой деятельности в соответствии с предшествующим договором не истек;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предшествующим договором установлено право гражданина на освобождение от ответственности за неисполнение обязательства по осуществлению трудовой деятельности по предшествующему договору в случае заключения следующего договора.</w:t>
      </w:r>
    </w:p>
    <w:p w:rsidR="002E1B16" w:rsidRPr="00676F09" w:rsidRDefault="00B86028">
      <w:pPr>
        <w:ind w:firstLine="397"/>
        <w:jc w:val="both"/>
        <w:rPr>
          <w:sz w:val="22"/>
          <w:szCs w:val="22"/>
        </w:rPr>
      </w:pPr>
      <w:r w:rsidRPr="00676F09">
        <w:rPr>
          <w:sz w:val="22"/>
          <w:szCs w:val="22"/>
        </w:rPr>
        <w:t>VI.</w:t>
      </w:r>
      <w:r w:rsidRPr="00676F09">
        <w:rPr>
          <w:sz w:val="22"/>
          <w:szCs w:val="22"/>
          <w:lang w:val="en-US"/>
        </w:rPr>
        <w:t> </w:t>
      </w:r>
      <w:r w:rsidRPr="00676F09">
        <w:rPr>
          <w:sz w:val="22"/>
          <w:szCs w:val="22"/>
        </w:rPr>
        <w:t>Контакты лиц, определенных заказчиком ответственными за организацию заключения договоров о целевом обучении: 8352565103, 8352565144.</w:t>
      </w:r>
    </w:p>
    <w:sectPr w:rsidR="002E1B16" w:rsidRPr="00676F09" w:rsidSect="00676F09">
      <w:headerReference w:type="default" r:id="rId7"/>
      <w:endnotePr>
        <w:numFmt w:val="decimal"/>
      </w:endnotePr>
      <w:pgSz w:w="11906" w:h="16838"/>
      <w:pgMar w:top="709" w:right="566" w:bottom="284" w:left="993" w:header="3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028" w:rsidRDefault="00B86028">
      <w:r>
        <w:separator/>
      </w:r>
    </w:p>
  </w:endnote>
  <w:endnote w:type="continuationSeparator" w:id="0">
    <w:p w:rsidR="00B86028" w:rsidRDefault="00B86028">
      <w:r>
        <w:continuationSeparator/>
      </w:r>
    </w:p>
  </w:endnote>
  <w:endnote w:id="1">
    <w:p w:rsidR="002E1B16" w:rsidRDefault="00B86028">
      <w:pPr>
        <w:pStyle w:val="af2"/>
        <w:jc w:val="both"/>
        <w:rPr>
          <w:sz w:val="16"/>
          <w:szCs w:val="16"/>
        </w:rPr>
      </w:pPr>
      <w:r>
        <w:rPr>
          <w:rStyle w:val="af"/>
        </w:rPr>
        <w:t>1111</w:t>
      </w:r>
      <w:r>
        <w:rPr>
          <w:sz w:val="16"/>
          <w:szCs w:val="16"/>
        </w:rPr>
        <w:t xml:space="preserve">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результате освоения основной образовательной программы.</w:t>
      </w:r>
    </w:p>
  </w:endnote>
  <w:endnote w:id="2">
    <w:p w:rsidR="002E1B16" w:rsidRDefault="00B86028">
      <w:pPr>
        <w:pStyle w:val="af2"/>
        <w:jc w:val="both"/>
        <w:rPr>
          <w:sz w:val="16"/>
          <w:szCs w:val="16"/>
        </w:rPr>
      </w:pPr>
      <w:r>
        <w:rPr>
          <w:rStyle w:val="af"/>
        </w:rPr>
        <w:t>3333</w:t>
      </w:r>
      <w:r>
        <w:rPr>
          <w:rStyle w:val="af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3">
    <w:p w:rsidR="002E1B16" w:rsidRDefault="00B86028">
      <w:pPr>
        <w:pStyle w:val="af2"/>
        <w:jc w:val="both"/>
        <w:rPr>
          <w:sz w:val="16"/>
          <w:szCs w:val="16"/>
        </w:rPr>
      </w:pPr>
      <w:r>
        <w:rPr>
          <w:rStyle w:val="af"/>
        </w:rPr>
        <w:t>4444</w:t>
      </w:r>
      <w:r>
        <w:rPr>
          <w:rStyle w:val="af"/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sz w:val="16"/>
          <w:szCs w:val="16"/>
        </w:rPr>
        <w:t>аккредитационных</w:t>
      </w:r>
      <w:proofErr w:type="spellEnd"/>
      <w:r>
        <w:rPr>
          <w:sz w:val="16"/>
          <w:szCs w:val="16"/>
        </w:rPr>
        <w:t xml:space="preserve"> (аттестационных, сертификационных, проверочных) процедур.</w:t>
      </w:r>
    </w:p>
  </w:endnote>
  <w:endnote w:id="4">
    <w:p w:rsidR="002E1B16" w:rsidRDefault="00B86028">
      <w:pPr>
        <w:pStyle w:val="af2"/>
        <w:jc w:val="both"/>
      </w:pPr>
      <w:r>
        <w:rPr>
          <w:rStyle w:val="af"/>
        </w:rPr>
        <w:t>5555</w:t>
      </w:r>
      <w:r>
        <w:rPr>
          <w:rStyle w:val="af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закона «Об образовании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028" w:rsidRDefault="00B86028">
      <w:r>
        <w:separator/>
      </w:r>
    </w:p>
  </w:footnote>
  <w:footnote w:type="continuationSeparator" w:id="0">
    <w:p w:rsidR="00B86028" w:rsidRDefault="00B8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B16" w:rsidRDefault="00B86028">
    <w:pPr>
      <w:pStyle w:val="a4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E1B16"/>
    <w:rsid w:val="002E1B16"/>
    <w:rsid w:val="00676F09"/>
    <w:rsid w:val="00B86028"/>
    <w:rsid w:val="00F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D53E"/>
  <w15:docId w15:val="{29D2BD8D-4EC7-4AF5-9D37-B78E4D6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7B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locked/>
    <w:rsid w:val="00C9027B"/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qFormat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qFormat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character" w:customStyle="1" w:styleId="aa">
    <w:name w:val="Текст сноски Знак"/>
    <w:basedOn w:val="a0"/>
    <w:link w:val="ab"/>
    <w:uiPriority w:val="99"/>
    <w:semiHidden/>
    <w:qFormat/>
    <w:locked/>
    <w:rsid w:val="00C9027B"/>
    <w:rPr>
      <w:rFonts w:cs="Times New Roman"/>
      <w:sz w:val="20"/>
      <w:szCs w:val="20"/>
    </w:rPr>
  </w:style>
  <w:style w:type="character" w:customStyle="1" w:styleId="ac">
    <w:name w:val="Символ сноски"/>
    <w:uiPriority w:val="99"/>
    <w:semiHidden/>
    <w:qFormat/>
    <w:rsid w:val="000E276C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ae">
    <w:name w:val="Продолжение ссылки"/>
    <w:uiPriority w:val="99"/>
    <w:qFormat/>
    <w:rsid w:val="00AD31D0"/>
  </w:style>
  <w:style w:type="character" w:customStyle="1" w:styleId="af">
    <w:name w:val="Символ концевой сноски"/>
    <w:qFormat/>
    <w:rsid w:val="0039322E"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Текст концевой сноски Знак"/>
    <w:basedOn w:val="a0"/>
    <w:link w:val="af2"/>
    <w:uiPriority w:val="99"/>
    <w:qFormat/>
    <w:rsid w:val="0039322E"/>
    <w:rPr>
      <w:sz w:val="20"/>
      <w:szCs w:val="20"/>
    </w:rPr>
  </w:style>
  <w:style w:type="character" w:customStyle="1" w:styleId="FontStyle29">
    <w:name w:val="Font Style29"/>
    <w:basedOn w:val="a0"/>
    <w:qFormat/>
    <w:rPr>
      <w:rFonts w:ascii="Times New Roman" w:hAnsi="Times New Roman" w:cs="Times New Roman"/>
      <w:sz w:val="22"/>
      <w:szCs w:val="22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E11F2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E11F2D"/>
    <w:pPr>
      <w:tabs>
        <w:tab w:val="center" w:pos="4677"/>
        <w:tab w:val="right" w:pos="9355"/>
      </w:tabs>
    </w:pPr>
  </w:style>
  <w:style w:type="paragraph" w:customStyle="1" w:styleId="af9">
    <w:name w:val="Таблицы (моноширинный)"/>
    <w:basedOn w:val="a"/>
    <w:next w:val="a"/>
    <w:uiPriority w:val="99"/>
    <w:qFormat/>
    <w:rsid w:val="00E11F2D"/>
    <w:pPr>
      <w:jc w:val="both"/>
    </w:pPr>
    <w:rPr>
      <w:rFonts w:ascii="Courier New" w:hAnsi="Courier New" w:cs="Courier New"/>
    </w:rPr>
  </w:style>
  <w:style w:type="paragraph" w:styleId="ab">
    <w:name w:val="footnote text"/>
    <w:basedOn w:val="a"/>
    <w:link w:val="aa"/>
    <w:uiPriority w:val="99"/>
    <w:semiHidden/>
    <w:rsid w:val="000E276C"/>
    <w:rPr>
      <w:sz w:val="20"/>
      <w:szCs w:val="20"/>
    </w:rPr>
  </w:style>
  <w:style w:type="paragraph" w:customStyle="1" w:styleId="afa">
    <w:name w:val="Комментарий"/>
    <w:basedOn w:val="a"/>
    <w:next w:val="a"/>
    <w:uiPriority w:val="99"/>
    <w:qFormat/>
    <w:rsid w:val="00140D55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styleId="afb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39322E"/>
    <w:pPr>
      <w:widowControl w:val="0"/>
    </w:pPr>
    <w:rPr>
      <w:rFonts w:ascii="Calibri" w:hAnsi="Calibri" w:cs="Calibri"/>
      <w:szCs w:val="20"/>
    </w:rPr>
  </w:style>
  <w:style w:type="paragraph" w:styleId="af2">
    <w:name w:val="endnote text"/>
    <w:basedOn w:val="a"/>
    <w:link w:val="af1"/>
    <w:uiPriority w:val="99"/>
    <w:unhideWhenUsed/>
    <w:rsid w:val="0039322E"/>
    <w:rPr>
      <w:sz w:val="20"/>
      <w:szCs w:val="20"/>
    </w:rPr>
  </w:style>
  <w:style w:type="table" w:styleId="afc">
    <w:name w:val="Table Grid"/>
    <w:basedOn w:val="a1"/>
    <w:uiPriority w:val="99"/>
    <w:rsid w:val="00E11F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676F0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76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7158-B140-4CB2-B611-036CF4AA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koksharova</dc:creator>
  <dc:description/>
  <cp:lastModifiedBy>Петрова Наталия Валериевна</cp:lastModifiedBy>
  <cp:revision>22</cp:revision>
  <cp:lastPrinted>2026-07-15T09:49:00Z</cp:lastPrinted>
  <dcterms:created xsi:type="dcterms:W3CDTF">2021-12-14T10:56:00Z</dcterms:created>
  <dcterms:modified xsi:type="dcterms:W3CDTF">2026-07-15T09:51:00Z</dcterms:modified>
  <dc:language>ru-RU</dc:language>
</cp:coreProperties>
</file>