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БЕЗОПАС</w:t>
      </w:r>
      <w:r w:rsidR="00BA703E">
        <w:rPr>
          <w:b/>
        </w:rPr>
        <w:t>Н</w:t>
      </w:r>
      <w:r>
        <w:rPr>
          <w:b/>
        </w:rPr>
        <w:t>ОСТИ ЖИЗНЕДЕЯТЕЛЬНОСТИ</w:t>
      </w:r>
    </w:p>
    <w:p w:rsidR="0082059D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B373F6" w:rsidRDefault="00B373F6" w:rsidP="00B373F6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42.02.14 Гостиничное дело</w:t>
      </w:r>
    </w:p>
    <w:p w:rsidR="0048776F" w:rsidRPr="0082059D" w:rsidRDefault="0048776F" w:rsidP="0048776F">
      <w:pPr>
        <w:tabs>
          <w:tab w:val="left" w:pos="0"/>
        </w:tabs>
        <w:jc w:val="center"/>
        <w:rPr>
          <w:b/>
          <w:snapToGrid w:val="0"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Pr="003B1FD8" w:rsidRDefault="00357ED3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B1FD8">
        <w:lastRenderedPageBreak/>
        <w:t>Чебоксары 202</w:t>
      </w:r>
      <w:r w:rsidR="000F6FF7">
        <w:t>1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4572"/>
        <w:gridCol w:w="108"/>
        <w:gridCol w:w="4572"/>
        <w:gridCol w:w="108"/>
      </w:tblGrid>
      <w:tr w:rsidR="00BA703E" w:rsidRPr="000D22C3" w:rsidTr="00BA703E">
        <w:trPr>
          <w:gridAfter w:val="1"/>
          <w:wAfter w:w="108" w:type="dxa"/>
        </w:trPr>
        <w:tc>
          <w:tcPr>
            <w:tcW w:w="4680" w:type="dxa"/>
            <w:gridSpan w:val="2"/>
          </w:tcPr>
          <w:p w:rsidR="00B373F6" w:rsidRDefault="00BA703E" w:rsidP="00B373F6">
            <w:pPr>
              <w:tabs>
                <w:tab w:val="left" w:pos="0"/>
              </w:tabs>
              <w:rPr>
                <w:snapToGrid w:val="0"/>
              </w:rPr>
            </w:pPr>
            <w:r w:rsidRPr="000D22C3"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="00B373F6">
              <w:rPr>
                <w:snapToGrid w:val="0"/>
              </w:rPr>
              <w:t>42.02.14 Гостиничное дело</w:t>
            </w:r>
          </w:p>
          <w:p w:rsidR="00BA703E" w:rsidRPr="000D22C3" w:rsidRDefault="00BA703E" w:rsidP="00017C46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gridSpan w:val="2"/>
          </w:tcPr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УТВЕРЖДЕНА</w:t>
            </w:r>
          </w:p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   Приказом №_299__ </w:t>
            </w:r>
          </w:p>
          <w:p w:rsidR="00BA703E" w:rsidRDefault="00BA703E" w:rsidP="00017C46">
            <w:pPr>
              <w:ind w:firstLine="567"/>
              <w:jc w:val="right"/>
            </w:pPr>
            <w:r>
              <w:rPr>
                <w:lang w:eastAsia="zh-CN"/>
              </w:rPr>
              <w:t xml:space="preserve">                  от "23" августа 2021г.</w:t>
            </w:r>
          </w:p>
          <w:p w:rsidR="00BA703E" w:rsidRPr="00B81189" w:rsidRDefault="00BA703E" w:rsidP="00017C46">
            <w:pPr>
              <w:jc w:val="center"/>
            </w:pPr>
          </w:p>
        </w:tc>
      </w:tr>
      <w:tr w:rsidR="00E54E43" w:rsidRPr="000D22C3" w:rsidTr="00BA703E">
        <w:trPr>
          <w:gridBefore w:val="1"/>
          <w:wBefore w:w="108" w:type="dxa"/>
        </w:trPr>
        <w:tc>
          <w:tcPr>
            <w:tcW w:w="4680" w:type="dxa"/>
            <w:gridSpan w:val="2"/>
          </w:tcPr>
          <w:p w:rsidR="000D22C3" w:rsidRPr="00475F90" w:rsidRDefault="000D22C3" w:rsidP="0082059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gridSpan w:val="2"/>
          </w:tcPr>
          <w:p w:rsidR="0082059D" w:rsidRPr="000D22C3" w:rsidRDefault="0082059D" w:rsidP="00357ED3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3B1FD8" w:rsidRDefault="000566A1" w:rsidP="00467967">
      <w:pPr>
        <w:rPr>
          <w:spacing w:val="20"/>
        </w:rPr>
      </w:pPr>
      <w:r w:rsidRPr="003B1FD8">
        <w:rPr>
          <w:spacing w:val="20"/>
        </w:rPr>
        <w:t>РАССМОТРЕН</w:t>
      </w:r>
      <w:r w:rsidR="003B1FD8" w:rsidRPr="003B1FD8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>окол №____ от « ___ » июня 2020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r w:rsidR="00684567">
        <w:t>Карсаков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475F90" w:rsidP="00466BDF">
      <w:r>
        <w:t>Никифорова А.С</w:t>
      </w:r>
      <w:r w:rsidR="00FE496D" w:rsidRPr="00684567">
        <w:t>., преподаватель</w:t>
      </w:r>
    </w:p>
    <w:p w:rsidR="00466BDF" w:rsidRPr="00946362" w:rsidRDefault="00466BDF" w:rsidP="00466BDF">
      <w:r w:rsidRPr="00946362">
        <w:t>« ___ » __________</w:t>
      </w:r>
      <w:r>
        <w:t>_____</w:t>
      </w:r>
      <w:r w:rsidR="00481D89">
        <w:t xml:space="preserve"> 20</w:t>
      </w:r>
      <w:r w:rsidR="00357ED3">
        <w:t>2</w:t>
      </w:r>
      <w:r w:rsidR="000F6FF7">
        <w:t>1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  <w:r w:rsidRPr="0082059D">
        <w:rPr>
          <w:caps/>
        </w:rPr>
        <w:t>.</w:t>
      </w:r>
      <w:r w:rsidRPr="0082059D">
        <w:t>.................</w:t>
      </w:r>
      <w:r w:rsidR="0082059D">
        <w:t>..............</w:t>
      </w:r>
      <w:r w:rsidRPr="0082059D">
        <w:t>.......4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  <w:r w:rsidRPr="0082059D">
        <w:rPr>
          <w:caps/>
        </w:rPr>
        <w:t>.</w:t>
      </w:r>
      <w:r w:rsidRPr="0082059D">
        <w:t>...</w:t>
      </w:r>
      <w:r w:rsidR="005B5A1B" w:rsidRPr="0082059D">
        <w:t>.......................</w:t>
      </w:r>
      <w:r w:rsidR="0082059D">
        <w:t>.............</w:t>
      </w:r>
      <w:r w:rsidR="005B5A1B" w:rsidRPr="0082059D">
        <w:t>.......11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  <w:r w:rsidRPr="0082059D">
        <w:rPr>
          <w:caps/>
        </w:rPr>
        <w:t>…………………………………………………</w:t>
      </w:r>
      <w:r w:rsidR="00F87BB6" w:rsidRPr="0082059D">
        <w:rPr>
          <w:caps/>
        </w:rPr>
        <w:t>…</w:t>
      </w:r>
      <w:r w:rsidR="002D316D" w:rsidRPr="0082059D">
        <w:rPr>
          <w:caps/>
        </w:rPr>
        <w:t>..</w:t>
      </w:r>
      <w:r w:rsidR="0082059D">
        <w:rPr>
          <w:caps/>
        </w:rPr>
        <w:t>……………</w:t>
      </w:r>
      <w:r w:rsidRPr="0082059D">
        <w:rPr>
          <w:caps/>
        </w:rPr>
        <w:t>……</w:t>
      </w:r>
      <w:r w:rsidR="0082059D">
        <w:rPr>
          <w:caps/>
        </w:rPr>
        <w:t>……...</w:t>
      </w:r>
      <w:r w:rsidR="00AF69B8">
        <w:rPr>
          <w:caps/>
        </w:rPr>
        <w:t>...</w:t>
      </w:r>
      <w:r w:rsidR="00704D25" w:rsidRPr="0082059D">
        <w:rPr>
          <w:caps/>
        </w:rPr>
        <w:t>…..</w:t>
      </w:r>
      <w:r w:rsidR="00F87BB6" w:rsidRPr="0082059D">
        <w:t>1</w:t>
      </w:r>
      <w:r w:rsidR="00CC4875" w:rsidRPr="0082059D">
        <w:t>6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  <w:r w:rsidRPr="0082059D">
        <w:rPr>
          <w:bCs/>
        </w:rPr>
        <w:t>…</w:t>
      </w:r>
      <w:r w:rsidRPr="0082059D">
        <w:t>…</w:t>
      </w:r>
      <w:r w:rsidR="005C3FF2" w:rsidRPr="0082059D">
        <w:t>…………………………………………………………………</w:t>
      </w:r>
      <w:r w:rsidR="0082059D">
        <w:t>……</w:t>
      </w:r>
      <w:r w:rsidR="005C3FF2" w:rsidRPr="0082059D">
        <w:t>………..</w:t>
      </w:r>
      <w:r w:rsidRPr="0082059D">
        <w:t>1</w:t>
      </w:r>
      <w:r w:rsidR="00D74990" w:rsidRPr="0082059D">
        <w:t>7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965ABE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FE496D">
        <w:rPr>
          <w:snapToGrid w:val="0"/>
        </w:rPr>
        <w:t xml:space="preserve"> </w:t>
      </w:r>
      <w:r w:rsidR="00B373F6">
        <w:rPr>
          <w:snapToGrid w:val="0"/>
        </w:rPr>
        <w:t>42.02.14 Гостиничное дело.</w:t>
      </w:r>
    </w:p>
    <w:p w:rsidR="005B5A1B" w:rsidRDefault="005B5A1B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оинству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F34CA5"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>.2. Планируемые метапредметные</w:t>
      </w:r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r w:rsidRPr="00F34CA5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3" w:name="_Toc434850650"/>
      <w:bookmarkStart w:id="4" w:name="_Toc435412674"/>
      <w:bookmarkStart w:id="5" w:name="_Toc453968147"/>
      <w:r w:rsidRPr="00F34CA5">
        <w:rPr>
          <w:rFonts w:ascii="Times New Roman" w:hAnsi="Times New Roman"/>
          <w:sz w:val="24"/>
          <w:szCs w:val="24"/>
        </w:rPr>
        <w:lastRenderedPageBreak/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3"/>
      <w:bookmarkEnd w:id="4"/>
      <w:bookmarkEnd w:id="5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DC7D5B" w:rsidP="00F34CA5">
      <w:r w:rsidRPr="00FE496D">
        <w:t>В резуль</w:t>
      </w:r>
      <w:r w:rsidR="00E01DFB" w:rsidRPr="00FE496D">
        <w:t>тате изучения учебного предмета</w:t>
      </w:r>
      <w:r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экориска, объяснять, как снизить последствия их воздействия;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C66B5E" w:rsidRDefault="001F0210" w:rsidP="00017C46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C66B5E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C66B5E">
        <w:rPr>
          <w:rFonts w:eastAsia="Calibri"/>
          <w:u w:color="000000"/>
          <w:bdr w:val="nil"/>
        </w:rPr>
        <w:tab/>
        <w:t>описывать порядок хранения автомата;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объяснять, в каких случаях используются перебежки и переползания;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перебежки и переползания (по-пластунски, на получетвереньках, на боку);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как экологическая безопасность связана с национальной безопасностью и влияет на </w:t>
      </w:r>
      <w:r w:rsidR="00C66B5E" w:rsidRPr="002B5374">
        <w:rPr>
          <w:rFonts w:eastAsia="Calibri"/>
          <w:u w:color="000000"/>
          <w:bdr w:val="nil"/>
        </w:rPr>
        <w:t>нее.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lastRenderedPageBreak/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lastRenderedPageBreak/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FE496D" w:rsidRPr="00FE496D">
              <w:rPr>
                <w:b/>
                <w:iCs/>
              </w:rPr>
              <w:t>ная аттестация в форме диф. зачета</w:t>
            </w:r>
            <w:r w:rsidRPr="00FE496D">
              <w:rPr>
                <w:b/>
                <w:iCs/>
              </w:rPr>
              <w:t xml:space="preserve"> 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lastRenderedPageBreak/>
        <w:t xml:space="preserve">2.2. </w:t>
      </w:r>
      <w:r w:rsidRPr="00E01DFB">
        <w:rPr>
          <w:b/>
          <w:szCs w:val="24"/>
          <w:lang w:val="ru-RU"/>
        </w:rPr>
        <w:t>Т</w:t>
      </w:r>
      <w:r w:rsidRPr="00E01DFB">
        <w:rPr>
          <w:b/>
          <w:szCs w:val="24"/>
        </w:rPr>
        <w:t>ематический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017C46">
              <w:rPr>
                <w:b/>
                <w:bCs/>
                <w:sz w:val="20"/>
                <w:szCs w:val="20"/>
              </w:rPr>
              <w:t xml:space="preserve"> </w:t>
            </w:r>
            <w:r w:rsidR="00017C46" w:rsidRPr="00017C46">
              <w:rPr>
                <w:b/>
                <w:sz w:val="20"/>
                <w:szCs w:val="20"/>
              </w:rPr>
              <w:t>Опасные ЧС природного, техногенного и социального характера, их характеристики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Тема 1.1. Общее понятие ЧС. Классификация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017C46">
        <w:trPr>
          <w:trHeight w:val="374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E30E0C" w:rsidRPr="00017C46" w:rsidRDefault="00E30E0C" w:rsidP="00017C46">
            <w:pPr>
              <w:pStyle w:val="33"/>
              <w:rPr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Среда обитания человека, их взаимодействие.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570B61">
        <w:trPr>
          <w:trHeight w:val="285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Понятие, определение ЧС и их классификация нормативно-правовыми документами.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257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Причины аварий, катастроф, стихийных бедствий. Обеспечение личной безопасности при возникновении ЧС природного и техногенного характера.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17C46" w:rsidRPr="00B831C5" w:rsidRDefault="00017C46" w:rsidP="00017C46">
            <w:pPr>
              <w:rPr>
                <w:b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 xml:space="preserve">Тема 1.2. Уголовная и административная ответственность </w:t>
            </w:r>
          </w:p>
          <w:p w:rsidR="000943C9" w:rsidRPr="00B831C5" w:rsidRDefault="00017C46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несовершеннолетних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Уго</w:t>
            </w:r>
            <w:r w:rsidRPr="00017C46">
              <w:rPr>
                <w:bCs/>
                <w:sz w:val="20"/>
                <w:szCs w:val="20"/>
              </w:rPr>
              <w:t>ловная ответственность несовершеннолетних. Виктимное поведение. Правила безопасного поведения в общественных  местах, на улице и в местах массового пребывания людей.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017C46">
              <w:rPr>
                <w:bCs/>
                <w:sz w:val="20"/>
                <w:szCs w:val="20"/>
              </w:rPr>
              <w:t xml:space="preserve">Административная ответственность несовершеннолетних. Закон Чувашской Республики об административной ответственности несовершеннолетних. 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E30E0C">
              <w:rPr>
                <w:rStyle w:val="fontstyle01"/>
                <w:rFonts w:ascii="Times New Roman" w:hAnsi="Times New Roman"/>
              </w:rPr>
              <w:t>Внутренний распорядок образовательного учреждения. Обязанности студентов образовательного учреждения.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B831C5" w:rsidRPr="00B831C5" w:rsidRDefault="00B831C5" w:rsidP="00B831C5">
            <w:pPr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bCs/>
                <w:sz w:val="20"/>
                <w:szCs w:val="20"/>
              </w:rPr>
              <w:t>Тема 1.3. ЧС геологического происхождения</w:t>
            </w:r>
          </w:p>
          <w:p w:rsidR="00B831C5" w:rsidRP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FE1A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43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B831C5">
              <w:rPr>
                <w:bCs/>
                <w:sz w:val="20"/>
                <w:szCs w:val="20"/>
              </w:rPr>
              <w:t>Из истории землетрясений и их происхождение. Оценка землетрясений. Меры по уменьшению потерь от землетрясений. Правила безопасного поведения при землетрясениях.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831C5" w:rsidRPr="0045607E" w:rsidTr="00B831C5">
        <w:trPr>
          <w:trHeight w:val="90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 вулкане. Опасные явления при извержении      вулканов. Правила безопасного поведения при извержении вулканов.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34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об оползнях, селевых потоков и обвалах. Меры безопасности при угрозе оползня, селя и обвала.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20"/>
        </w:trPr>
        <w:tc>
          <w:tcPr>
            <w:tcW w:w="2471" w:type="dxa"/>
            <w:vMerge w:val="restart"/>
            <w:shd w:val="clear" w:color="auto" w:fill="auto"/>
          </w:tcPr>
          <w:p w:rsidR="00B831C5" w:rsidRDefault="00B831C5" w:rsidP="00B831C5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1.4. ЧС метеорологического происхождения</w:t>
            </w:r>
          </w:p>
          <w:p w:rsidR="009B62EB" w:rsidRPr="009B62EB" w:rsidRDefault="009B62EB" w:rsidP="00B831C5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B831C5" w:rsidRDefault="009B62EB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E30E0C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ураганов и бурь. Последствия </w:t>
            </w:r>
          </w:p>
          <w:p w:rsidR="00B831C5" w:rsidRDefault="009B62EB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ураганов и </w:t>
            </w:r>
            <w:r>
              <w:rPr>
                <w:bCs/>
                <w:sz w:val="20"/>
                <w:szCs w:val="20"/>
              </w:rPr>
              <w:t>бурь</w:t>
            </w:r>
            <w:r w:rsidRPr="009B62EB">
              <w:rPr>
                <w:bCs/>
                <w:sz w:val="20"/>
                <w:szCs w:val="20"/>
              </w:rPr>
              <w:t xml:space="preserve"> и меры уменьшения ущерба от ураганов и бурь.  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B831C5">
        <w:trPr>
          <w:trHeight w:val="15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Правила безопасного поведения при угрозе и во время ураганов и бурь.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о смерче. Последствия и меры уменьшения ущерба от смерчей. Правила безопасного поведения при угрозе смерчей.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464323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1.5. ЧС гидрологического происхождения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Из истории наводнений. Происхождение и их классификация. Последствия наводнений.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E30E0C">
        <w:trPr>
          <w:trHeight w:val="21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Меры по уменьшению ущерба от наводнений и правила безопасного поведения при угрозе и во время наводнения.</w:t>
            </w:r>
          </w:p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22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и признаки приближения цунами. Правила безопасного поведения при угрозе приближения и во время цунами</w:t>
            </w:r>
            <w:r>
              <w:rPr>
                <w:bCs/>
                <w:sz w:val="20"/>
                <w:szCs w:val="20"/>
              </w:rPr>
              <w:t>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lastRenderedPageBreak/>
              <w:t>Тема 1.6. Природные пожары и ЧС биологического происхождения.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40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лесных пожаров. Последствия лесных пожаров и их предупреждение. 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1F0210">
        <w:trPr>
          <w:trHeight w:val="18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Эпидемия, эпизоотия эпифитотия и их разновидности. Защитные мероприятия от биологических чрезвычайных ситуаций.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B62EB" w:rsidRPr="00B326A8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bCs/>
                <w:sz w:val="20"/>
                <w:szCs w:val="20"/>
              </w:rPr>
              <w:t>Тема 1.7. ЧС техногенного происхождения. Защита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Общее понятие и классификация ЧС техногенного происхождения. ЧС техногенного характера с загрязнением и без загрязнения окружающей среды.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B62EB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250886">
              <w:rPr>
                <w:b/>
                <w:bCs/>
                <w:sz w:val="20"/>
                <w:szCs w:val="20"/>
              </w:rPr>
              <w:t>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994169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50886"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 xml:space="preserve">Основы законодательства Российской Федерации в сфере санитарно-эпидемиологического </w:t>
            </w:r>
            <w:r w:rsidRPr="00250886">
              <w:rPr>
                <w:b/>
                <w:bCs/>
                <w:sz w:val="20"/>
                <w:szCs w:val="20"/>
              </w:rPr>
              <w:lastRenderedPageBreak/>
              <w:t>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250886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4.</w:t>
            </w:r>
            <w:r w:rsidRPr="009B62EB">
              <w:rPr>
                <w:b/>
                <w:bCs/>
                <w:sz w:val="20"/>
                <w:szCs w:val="20"/>
              </w:rPr>
              <w:t xml:space="preserve"> </w:t>
            </w:r>
            <w:r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9B62EB">
              <w:rPr>
                <w:b/>
                <w:bCs/>
                <w:sz w:val="20"/>
                <w:szCs w:val="20"/>
              </w:rPr>
              <w:t>Защитные мероприятия от чрезвычайных ситуаций.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Pr="009B62EB" w:rsidRDefault="009B62EB" w:rsidP="009B62EB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 xml:space="preserve">Тема 4.1. Защитные мероприятия от ЧС природного и 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техногенного происхождения</w:t>
            </w:r>
            <w:r w:rsidRPr="009B62EB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54754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E30E0C">
        <w:trPr>
          <w:trHeight w:val="993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Pr="00E30E0C" w:rsidRDefault="009B62EB" w:rsidP="00E30E0C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Защитные мероприятия от ЧС природного и техногенного происхождения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9B62EB" w:rsidRPr="009B62EB" w:rsidRDefault="009B62EB" w:rsidP="009B6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9B62EB">
              <w:rPr>
                <w:b/>
                <w:sz w:val="20"/>
                <w:szCs w:val="20"/>
              </w:rPr>
              <w:t>.2. Индивидуальные средства защиты человека в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303206">
        <w:trPr>
          <w:trHeight w:val="55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 xml:space="preserve">Индивидуальные средства защиты       </w:t>
            </w:r>
          </w:p>
          <w:p w:rsidR="009B62EB" w:rsidRP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органов дыхания, средства защиты кожи и медицинские средства.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B62EB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>Раздел 5</w:t>
            </w:r>
            <w:r w:rsidR="009B62EB" w:rsidRPr="00787AB4">
              <w:rPr>
                <w:b/>
                <w:bCs/>
                <w:sz w:val="20"/>
                <w:szCs w:val="20"/>
              </w:rPr>
              <w:t xml:space="preserve">. </w:t>
            </w:r>
            <w:r w:rsidRPr="00787AB4">
              <w:rPr>
                <w:b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</w:t>
            </w:r>
            <w:r w:rsidRPr="00787A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.1. МЧС России – федеральный орган исполнительной власти в области защиты населения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История создания МЧС России.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303206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Pr="00787AB4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Задачи и основные направления развития МЧС в современных условиях.</w:t>
            </w: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464323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30E0C" w:rsidRDefault="00E30E0C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87AB4">
              <w:rPr>
                <w:b/>
                <w:bCs/>
                <w:sz w:val="20"/>
                <w:szCs w:val="20"/>
              </w:rPr>
              <w:t>.2. Гражданская оборона как составная часть национальной безопасности и  обороноспособности страны.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42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Предназначение гражданской обороны и ее основные задачи.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30320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Pr="00787AB4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Организационные основы, руководство и управление гражданской обороной.</w:t>
            </w: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.3. Организация единой государственной системы предупреждения и ликвидации чрезвычайных ситуаций (РСЧС).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Цели и задачи создания РСЧС, ее структура, режимы функционирования. Силы и средства для предупреждения и ликвидации ЧС.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017C46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="009B62EB" w:rsidRPr="00915256">
              <w:rPr>
                <w:b/>
                <w:bCs/>
                <w:sz w:val="20"/>
                <w:szCs w:val="20"/>
              </w:rPr>
              <w:t xml:space="preserve">. </w:t>
            </w:r>
            <w:r w:rsidRPr="00787AB4">
              <w:rPr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1520" w:type="dxa"/>
            <w:shd w:val="clear" w:color="auto" w:fill="FFFFFF"/>
          </w:tcPr>
          <w:p w:rsidR="009B62EB" w:rsidRPr="000A102A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464323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7AB4">
              <w:rPr>
                <w:b/>
                <w:sz w:val="20"/>
                <w:szCs w:val="20"/>
              </w:rPr>
              <w:t xml:space="preserve">Тема 6.1 Организационная структура Вооруженных сил России и воинская обязанность. 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91525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9B62EB" w:rsidRPr="000A102A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787AB4">
        <w:trPr>
          <w:trHeight w:val="102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Pr="00787AB4" w:rsidRDefault="00787AB4" w:rsidP="00787AB4">
            <w:pPr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История создания Вооруженных сил России. Организационная структура Вооруженных сил.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87AB4" w:rsidRPr="0045607E" w:rsidTr="00464323">
        <w:trPr>
          <w:trHeight w:val="260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6</w:t>
            </w:r>
            <w:r w:rsidRPr="00787AB4">
              <w:rPr>
                <w:b/>
                <w:sz w:val="20"/>
                <w:szCs w:val="20"/>
              </w:rPr>
              <w:t>.2 Воинская обязанность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787AB4" w:rsidRPr="000A102A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7AB4" w:rsidRPr="0045607E" w:rsidTr="00787AB4">
        <w:trPr>
          <w:trHeight w:val="570"/>
        </w:trPr>
        <w:tc>
          <w:tcPr>
            <w:tcW w:w="2471" w:type="dxa"/>
            <w:vMerge/>
            <w:shd w:val="clear" w:color="auto" w:fill="auto"/>
          </w:tcPr>
          <w:p w:rsidR="00787AB4" w:rsidRPr="00B75C5F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Организация воинского учета и его предназначение. Первоначальная постановка граждан на воинский учет</w:t>
            </w:r>
          </w:p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87AB4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7AB4" w:rsidRPr="0045607E" w:rsidTr="00464323">
        <w:trPr>
          <w:trHeight w:val="243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787AB4">
              <w:rPr>
                <w:b/>
                <w:sz w:val="20"/>
                <w:szCs w:val="20"/>
              </w:rPr>
              <w:t>.3 Боевые традиции Вооруженных сил России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787AB4" w:rsidRPr="000A102A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7AB4" w:rsidRPr="0045607E" w:rsidTr="005D6698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787AB4" w:rsidRPr="00B75C5F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Символы воинской части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87AB4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D6698" w:rsidRPr="0045607E" w:rsidTr="00464323">
        <w:trPr>
          <w:trHeight w:val="267"/>
        </w:trPr>
        <w:tc>
          <w:tcPr>
            <w:tcW w:w="2471" w:type="dxa"/>
            <w:vMerge w:val="restart"/>
            <w:shd w:val="clear" w:color="auto" w:fill="auto"/>
          </w:tcPr>
          <w:p w:rsidR="005D6698" w:rsidRDefault="0055474A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55474A">
              <w:rPr>
                <w:b/>
                <w:sz w:val="20"/>
                <w:szCs w:val="20"/>
              </w:rPr>
              <w:t>Тема 6.4 Призыв на военную службу. Прохождение военной службы по контракту. Альтернативная гражданская служба</w:t>
            </w:r>
          </w:p>
          <w:p w:rsidR="00464323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464323" w:rsidRPr="00464323" w:rsidRDefault="00C029AD" w:rsidP="00464323">
            <w:pPr>
              <w:pStyle w:val="3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bookmarkStart w:id="6" w:name="_GoBack"/>
            <w:bookmarkEnd w:id="6"/>
            <w:r w:rsidR="00464323" w:rsidRPr="00464323">
              <w:rPr>
                <w:b/>
                <w:sz w:val="20"/>
                <w:szCs w:val="20"/>
              </w:rPr>
              <w:t>.5. Военнослужащий – защитник своего Отечества</w:t>
            </w:r>
          </w:p>
          <w:p w:rsidR="00464323" w:rsidRPr="00464323" w:rsidRDefault="00464323" w:rsidP="00464323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5D6698" w:rsidRPr="00787AB4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5D6698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5D6698" w:rsidRPr="000A102A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5D6698">
        <w:trPr>
          <w:trHeight w:val="225"/>
        </w:trPr>
        <w:tc>
          <w:tcPr>
            <w:tcW w:w="2471" w:type="dxa"/>
            <w:vMerge/>
            <w:shd w:val="clear" w:color="auto" w:fill="auto"/>
          </w:tcPr>
          <w:p w:rsidR="00464323" w:rsidRPr="00B75C5F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Прохождение военной службы по контракту.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64323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464323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64323" w:rsidRPr="0045607E" w:rsidTr="00464323">
        <w:trPr>
          <w:trHeight w:val="930"/>
        </w:trPr>
        <w:tc>
          <w:tcPr>
            <w:tcW w:w="2471" w:type="dxa"/>
            <w:vMerge/>
            <w:shd w:val="clear" w:color="auto" w:fill="auto"/>
          </w:tcPr>
          <w:p w:rsidR="00464323" w:rsidRPr="00B75C5F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Альтернативная гражданская служба</w:t>
            </w:r>
          </w:p>
          <w:p w:rsidR="00464323" w:rsidRPr="00464323" w:rsidRDefault="00464323" w:rsidP="0055474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165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464323" w:rsidRPr="00787AB4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51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 xml:space="preserve">Общие права и обязанности военнослужащих. Виды </w:t>
            </w:r>
          </w:p>
          <w:p w:rsid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ответственности, установленные для военнослужащих.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64323" w:rsidRPr="0045607E" w:rsidTr="00464323">
        <w:trPr>
          <w:trHeight w:val="12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sz w:val="20"/>
                <w:szCs w:val="20"/>
              </w:rPr>
              <w:t>Качества личности военнослужащего как защитника Отечества.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Виды воинской деятельности и их особенности.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787AB4">
        <w:trPr>
          <w:trHeight w:val="11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Воинская дисциплина, ее сущность и значение.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464323" w:rsidRPr="00160D92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64323" w:rsidRPr="00BD19C7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464323" w:rsidRDefault="002D0793" w:rsidP="00464323">
      <w:pPr>
        <w:sectPr w:rsidR="002D0793" w:rsidRPr="00464323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lastRenderedPageBreak/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lastRenderedPageBreak/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6C" w:rsidRDefault="007C536C">
      <w:r>
        <w:separator/>
      </w:r>
    </w:p>
  </w:endnote>
  <w:endnote w:type="continuationSeparator" w:id="0">
    <w:p w:rsidR="007C536C" w:rsidRDefault="007C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7C46" w:rsidRDefault="00017C46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029AD">
      <w:rPr>
        <w:rStyle w:val="af8"/>
        <w:noProof/>
      </w:rPr>
      <w:t>15</w:t>
    </w:r>
    <w:r>
      <w:rPr>
        <w:rStyle w:val="af8"/>
      </w:rPr>
      <w:fldChar w:fldCharType="end"/>
    </w:r>
  </w:p>
  <w:p w:rsidR="00017C46" w:rsidRPr="00C748B1" w:rsidRDefault="00017C46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7C46" w:rsidRDefault="00017C46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C029AD" w:rsidRPr="00C029AD">
      <w:rPr>
        <w:noProof/>
        <w:lang w:val="ru-RU"/>
      </w:rPr>
      <w:t>15</w:t>
    </w:r>
    <w:r>
      <w:fldChar w:fldCharType="end"/>
    </w:r>
  </w:p>
  <w:p w:rsidR="00017C46" w:rsidRPr="005B5A1B" w:rsidRDefault="00017C46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029AD">
      <w:rPr>
        <w:rStyle w:val="af8"/>
        <w:noProof/>
      </w:rPr>
      <w:t>17</w:t>
    </w:r>
    <w:r>
      <w:rPr>
        <w:rStyle w:val="af8"/>
      </w:rPr>
      <w:fldChar w:fldCharType="end"/>
    </w:r>
  </w:p>
  <w:p w:rsidR="00017C46" w:rsidRPr="00F97679" w:rsidRDefault="00017C46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6C" w:rsidRDefault="007C536C">
      <w:r>
        <w:separator/>
      </w:r>
    </w:p>
  </w:footnote>
  <w:footnote w:type="continuationSeparator" w:id="0">
    <w:p w:rsidR="007C536C" w:rsidRDefault="007C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17C46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6FF7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1FD8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4323"/>
    <w:rsid w:val="00465F80"/>
    <w:rsid w:val="00466B7E"/>
    <w:rsid w:val="00466BDF"/>
    <w:rsid w:val="00467967"/>
    <w:rsid w:val="00470413"/>
    <w:rsid w:val="00474FA5"/>
    <w:rsid w:val="004759F0"/>
    <w:rsid w:val="00475F9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474A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6698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B4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536C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42B0"/>
    <w:rsid w:val="00844941"/>
    <w:rsid w:val="00846A54"/>
    <w:rsid w:val="00854C98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B62EB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373F6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31C5"/>
    <w:rsid w:val="00B84F82"/>
    <w:rsid w:val="00B86673"/>
    <w:rsid w:val="00B86843"/>
    <w:rsid w:val="00B86BF0"/>
    <w:rsid w:val="00B87620"/>
    <w:rsid w:val="00B87BC2"/>
    <w:rsid w:val="00B946EA"/>
    <w:rsid w:val="00BA4AD3"/>
    <w:rsid w:val="00BA703E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2A00"/>
    <w:rsid w:val="00BE2DD8"/>
    <w:rsid w:val="00BE5AC2"/>
    <w:rsid w:val="00BE5DB1"/>
    <w:rsid w:val="00BF2D05"/>
    <w:rsid w:val="00BF6BDD"/>
    <w:rsid w:val="00C01BCC"/>
    <w:rsid w:val="00C029AD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6B5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0E0C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20392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9">
    <w:name w:val="List Paragraph"/>
    <w:basedOn w:val="a0"/>
    <w:uiPriority w:val="34"/>
    <w:qFormat/>
    <w:rsid w:val="002B5374"/>
    <w:pPr>
      <w:ind w:left="720"/>
      <w:contextualSpacing/>
    </w:pPr>
  </w:style>
  <w:style w:type="paragraph" w:styleId="33">
    <w:name w:val="Body Text 3"/>
    <w:basedOn w:val="a0"/>
    <w:link w:val="34"/>
    <w:rsid w:val="00017C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017C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AC55-C892-4AA4-A237-0AAB7BB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21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Никифорова Анна Сергеевна</cp:lastModifiedBy>
  <cp:revision>17</cp:revision>
  <cp:lastPrinted>2013-04-09T09:08:00Z</cp:lastPrinted>
  <dcterms:created xsi:type="dcterms:W3CDTF">2016-05-01T12:13:00Z</dcterms:created>
  <dcterms:modified xsi:type="dcterms:W3CDTF">2022-01-17T06:06:00Z</dcterms:modified>
</cp:coreProperties>
</file>