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8931C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0"/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Государственное автономное профессиональное образовательное учреждение Чувашской Республики 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«Чебоксарский экономико-технологический колледж»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Министерства образования  и молодежной политики Чувашской Республики</w:t>
      </w:r>
    </w:p>
    <w:p>
      <w:pPr>
        <w:spacing w:lineRule="auto" w:line="240" w:before="12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before="120" w:after="12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before="120" w:after="120" w:beforeAutospacing="0" w:afterAutospacing="0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widowControl w:val="0"/>
        <w:shd w:val="clear" w:fill="FFFFFF"/>
        <w:suppressAutoHyphens w:val="1"/>
        <w:spacing w:lineRule="auto" w:line="360" w:after="0" w:beforeAutospacing="0" w:afterAutospacing="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МЕТОДИЧЕСКИЕ РЕКОМЕНДАЦИИ ДЛЯ САМОСТОЯТЕЛЬНОЙ РАБОТЫ</w:t>
      </w:r>
    </w:p>
    <w:p>
      <w:pPr>
        <w:suppressAutoHyphens w:val="1"/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МДК 02.</w:t>
      </w:r>
      <w:r>
        <w:t xml:space="preserve"> </w:t>
      </w:r>
      <w:r>
        <w:rPr>
          <w:rFonts w:ascii="Times New Roman" w:hAnsi="Times New Roman"/>
          <w:b w:val="1"/>
          <w:sz w:val="24"/>
        </w:rPr>
        <w:t>03 ОРГАНИЗАЦИЯ ОБСЛУЖИВАНИЯ В БАРАХ ПРИ ГОСТИНИЦЕ</w:t>
      </w: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специальность </w:t>
      </w: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среднего профессионального образования</w:t>
      </w: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43.02.14. Гостиничное дело</w:t>
      </w: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Разработчик: </w:t>
      </w:r>
    </w:p>
    <w:p>
      <w:pPr>
        <w:spacing w:lineRule="auto" w:line="360" w:after="0" w:beforeAutospacing="0" w:afterAutospac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Иванова Е.</w:t>
      </w:r>
      <w:r>
        <w:rPr>
          <w:rFonts w:ascii="Times New Roman" w:hAnsi="Times New Roman"/>
          <w:sz w:val="24"/>
        </w:rPr>
        <w:t>В., преподаватель</w:t>
      </w:r>
    </w:p>
    <w:p>
      <w:pPr>
        <w:spacing w:lineRule="auto" w:line="360" w:after="0" w:beforeAutospacing="0" w:afterAutospacing="0"/>
        <w:jc w:val="right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before="120" w:after="12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Чебоксары 202</w:t>
      </w:r>
      <w:r>
        <w:rPr>
          <w:rFonts w:ascii="Times New Roman" w:hAnsi="Times New Roman"/>
          <w:sz w:val="24"/>
        </w:rPr>
        <w:t>1</w:t>
      </w: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СОДЕРЖАНИЕ</w:t>
      </w:r>
    </w:p>
    <w:p>
      <w:pPr>
        <w:tabs>
          <w:tab w:val="left" w:pos="8931" w:leader="dot"/>
        </w:tabs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ЗАПИСКА</w:t>
        <w:tab/>
        <w:t>3</w:t>
      </w:r>
    </w:p>
    <w:p>
      <w:pPr>
        <w:tabs>
          <w:tab w:val="left" w:pos="8931" w:leader="dot"/>
        </w:tabs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ВНЕАУДИТОРНЫХ САМОСТОЯТЕЛЬНЫХ РАБОТ</w:t>
        <w:tab/>
        <w:t>4</w:t>
      </w:r>
    </w:p>
    <w:p>
      <w:pPr>
        <w:tabs>
          <w:tab w:val="left" w:pos="8931" w:leader="dot"/>
        </w:tabs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Самостоятельная работа № 1</w:t>
        <w:tab/>
        <w:t>5</w:t>
      </w:r>
    </w:p>
    <w:p>
      <w:pPr>
        <w:tabs>
          <w:tab w:val="left" w:pos="8931" w:leader="dot"/>
        </w:tabs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Самостоятельная работа № 2</w:t>
        <w:tab/>
        <w:t>9</w:t>
      </w:r>
    </w:p>
    <w:p>
      <w:pPr>
        <w:tabs>
          <w:tab w:val="left" w:pos="8931" w:leader="dot"/>
        </w:tabs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Самостоятельная работа № 3</w:t>
        <w:tab/>
        <w:t>10</w:t>
      </w:r>
    </w:p>
    <w:p>
      <w:pPr>
        <w:tabs>
          <w:tab w:val="left" w:pos="8931" w:leader="dot"/>
        </w:tabs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Самостоятельная работа № 4</w:t>
        <w:tab/>
        <w:t>10</w:t>
      </w:r>
    </w:p>
    <w:p>
      <w:pPr>
        <w:tabs>
          <w:tab w:val="left" w:pos="8931" w:leader="dot"/>
        </w:tabs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А. Оформление титульного листа</w:t>
        <w:tab/>
        <w:t>13</w:t>
      </w:r>
    </w:p>
    <w:p>
      <w:pPr>
        <w:tabs>
          <w:tab w:val="left" w:pos="8931" w:leader="dot"/>
        </w:tabs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Б. Обязательные требования к оформлению реферата</w:t>
        <w:tab/>
        <w:t>14</w:t>
      </w:r>
    </w:p>
    <w:p>
      <w:pPr>
        <w:tabs>
          <w:tab w:val="left" w:pos="8931" w:leader="dot"/>
        </w:tabs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В. Оформление списка литературы</w:t>
        <w:tab/>
        <w:t>15</w:t>
      </w:r>
    </w:p>
    <w:p>
      <w:pPr>
        <w:tabs>
          <w:tab w:val="left" w:pos="8931" w:leader="dot"/>
        </w:tabs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СПИСОК РЕКОМЕНДОВАННОЙ ЛИТЕРАТУРЫ</w:t>
        <w:tab/>
        <w:t>16</w:t>
      </w:r>
    </w:p>
    <w:p>
      <w:pPr>
        <w:tabs>
          <w:tab w:val="left" w:pos="8931" w:leader="dot"/>
        </w:tabs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br w:type="page"/>
      </w: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ПОЯСНИТЕЛЬНАЯ ЗАПИСКА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Самостоятельная внеаудиторная работа – это процесс индивидуального творчества каждого студента. Она способствует профессиональному саморазвитию личности.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Данные методические рекомендации разработаны для выполнения внеаудиторной самостоятельной работы по ПМ.02 Организация и контроль текущей деятельности сотрудников службы питания для специальности 43.02.14. Гостиничное дело.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Профессиональный модуль является частью рабочей основной профессиональной образовательной программы в соответствии с ФГОС по специальности 43.02.14. Гостиничное дело, введенной в дополнение к предусмотренным ФГОС дисциплинам по согласованию с работодателем за счет часов вариативной части.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Цель методических рекомендаций – оказать помощь в выполнении самостоятельной работы студентами и  овладеть общеинтеллектуальными навыками: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сравнивать;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анализировать;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находить причинно – следственные связи;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делать логические выводы;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аргументировать свое решение;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самостоятельный информационный поиск;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работать с  нормативно – правовой, учебной и справочной литературой;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Выполнение самостоятельной работы студентами проводится с целью:</w:t>
      </w: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углубления и систематизации знаний по дисциплине;</w:t>
      </w: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развития творческой инициативы, познавательных способностей;</w:t>
      </w: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самостоятельности, ответственности и организованности;</w:t>
      </w: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умений использовать учебную, дополнительную, справочною литературу.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Знания и умения, приобретенные при выполнении самостоятельной внеаудиторной работы, необходимы для формирования  профессиональных навыков.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самостоятельной работы студентов осуществляется в соответствии с календарно – тематическим планом.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br w:type="page"/>
      </w: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ПЕРЕЧЕНЬ ВНЕАУДИТОРНЫХ САМОСТОЯТЕЛЬНЫХ РАБОТ</w:t>
      </w: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24"/>
        </w:rPr>
      </w:pPr>
    </w:p>
    <w:tbl>
      <w:tblPr>
        <w:tblW w:w="9747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1E0"/>
      </w:tblPr>
      <w:tblGrid/>
      <w:tr>
        <w:tc>
          <w:tcPr>
            <w:tcW w:w="949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6247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темы </w:t>
            </w:r>
          </w:p>
        </w:tc>
        <w:tc>
          <w:tcPr>
            <w:tcW w:w="2551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</w:t>
            </w:r>
          </w:p>
        </w:tc>
      </w:tr>
      <w:tr>
        <w:tc>
          <w:tcPr>
            <w:tcW w:w="949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247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Составление реферата «Алгоритм поведения в конфликтных ситуациях с потребителями». </w:t>
            </w:r>
          </w:p>
        </w:tc>
        <w:tc>
          <w:tcPr>
            <w:tcW w:w="2551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hd w:val="clear" w:fill="FFFF00"/>
              </w:rPr>
            </w:pPr>
            <w:r>
              <w:rPr>
                <w:rFonts w:ascii="Times New Roman" w:hAnsi="Times New Roman"/>
                <w:sz w:val="24"/>
                <w:shd w:val="clear" w:fill="FFFF00"/>
              </w:rPr>
              <w:t>2</w:t>
            </w:r>
          </w:p>
        </w:tc>
      </w:tr>
      <w:tr>
        <w:tc>
          <w:tcPr>
            <w:tcW w:w="949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247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Составление рефератов «Выписка счетов, внесение изменений в счет, производство расчетов с клиентом». </w:t>
            </w:r>
          </w:p>
        </w:tc>
        <w:tc>
          <w:tcPr>
            <w:tcW w:w="2551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hd w:val="clear" w:fill="FFFF00"/>
              </w:rPr>
            </w:pPr>
            <w:r>
              <w:rPr>
                <w:rFonts w:ascii="Times New Roman" w:hAnsi="Times New Roman"/>
                <w:sz w:val="24"/>
                <w:shd w:val="clear" w:fill="FFFF00"/>
              </w:rPr>
              <w:t>2</w:t>
            </w:r>
          </w:p>
        </w:tc>
      </w:tr>
      <w:tr>
        <w:tc>
          <w:tcPr>
            <w:tcW w:w="949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247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Составление реферата «Определение подлинности и платежности бумажных денежных знаков». </w:t>
            </w:r>
          </w:p>
        </w:tc>
        <w:tc>
          <w:tcPr>
            <w:tcW w:w="2551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hd w:val="clear" w:fill="FFFF00"/>
              </w:rPr>
            </w:pPr>
            <w:r>
              <w:rPr>
                <w:rFonts w:ascii="Times New Roman" w:hAnsi="Times New Roman"/>
                <w:sz w:val="24"/>
                <w:shd w:val="clear" w:fill="FFFF00"/>
              </w:rPr>
              <w:t>2</w:t>
            </w:r>
          </w:p>
        </w:tc>
      </w:tr>
      <w:tr>
        <w:tc>
          <w:tcPr>
            <w:tcW w:w="949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247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Оформление отчетных документов по расчету с владельцами платежных документов.</w:t>
            </w:r>
          </w:p>
        </w:tc>
        <w:tc>
          <w:tcPr>
            <w:tcW w:w="2551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hd w:val="clear" w:fill="FFFF00"/>
              </w:rPr>
            </w:pPr>
            <w:r>
              <w:rPr>
                <w:rFonts w:ascii="Times New Roman" w:hAnsi="Times New Roman"/>
                <w:sz w:val="24"/>
                <w:shd w:val="clear" w:fill="FFFF00"/>
              </w:rPr>
              <w:t>2</w:t>
            </w:r>
          </w:p>
        </w:tc>
      </w:tr>
      <w:tr>
        <w:tc>
          <w:tcPr>
            <w:tcW w:w="949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47" w:type="dxa"/>
          </w:tcPr>
          <w:p>
            <w:pPr>
              <w:tabs>
                <w:tab w:val="left" w:pos="400" w:leader="none"/>
              </w:tabs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</w:t>
            </w:r>
          </w:p>
        </w:tc>
        <w:tc>
          <w:tcPr>
            <w:tcW w:w="2551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  <w:shd w:val="clear" w:fill="FFFF00"/>
              </w:rPr>
            </w:pPr>
            <w:r>
              <w:rPr>
                <w:rFonts w:ascii="Times New Roman" w:hAnsi="Times New Roman"/>
                <w:b w:val="1"/>
                <w:sz w:val="24"/>
                <w:shd w:val="clear" w:fill="FFFF00"/>
              </w:rPr>
              <w:t>8</w:t>
            </w:r>
            <w:bookmarkStart w:id="0" w:name="_GoBack"/>
            <w:bookmarkEnd w:id="0"/>
          </w:p>
        </w:tc>
      </w:tr>
    </w:tbl>
    <w:p>
      <w:p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Самостоятельная работа № 1</w:t>
      </w: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Тема:</w:t>
      </w:r>
      <w:r>
        <w:rPr>
          <w:rFonts w:ascii="Times New Roman" w:hAnsi="Times New Roman"/>
          <w:sz w:val="24"/>
        </w:rPr>
        <w:t xml:space="preserve"> Составление реферата «Алгоритм поведения в конфликтных ситуациях с потребителями». 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Цели: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структурировать изученный материал;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определять причинно – следственные связи;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осуществлять поиск и подбор иллюстрированного материала.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Средства оснащения:</w:t>
      </w:r>
    </w:p>
    <w:p>
      <w:pPr>
        <w:pStyle w:val="P1"/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медиа презентация «Конфликты»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Перечень рекомендуемых источников:</w:t>
      </w:r>
    </w:p>
    <w:p>
      <w:pPr>
        <w:pStyle w:val="P1"/>
        <w:numPr>
          <w:ilvl w:val="0"/>
          <w:numId w:val="19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Кучер Л.С, Шкуратова Л.М. Организация обслуживания на предприятиях общественного питания. – М.: Деловая литература, 2012. </w:t>
      </w: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Порядок выполнения работы</w:t>
      </w:r>
    </w:p>
    <w:p>
      <w:pPr>
        <w:numPr>
          <w:ilvl w:val="0"/>
          <w:numId w:val="6"/>
        </w:numPr>
        <w:tabs>
          <w:tab w:val="left" w:pos="720" w:leader="none"/>
          <w:tab w:val="clear" w:pos="1684" w:leader="none"/>
        </w:tabs>
        <w:spacing w:lineRule="auto" w:line="240" w:after="0" w:beforeAutospacing="0" w:afterAutospacing="0"/>
        <w:ind w:firstLine="0" w:left="36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Ознакомьтесь с  методическими указаниями  к написанию рефератов:</w:t>
      </w:r>
    </w:p>
    <w:p>
      <w:pPr>
        <w:spacing w:lineRule="auto" w:line="240" w:after="0" w:beforeAutospacing="0" w:afterAutospacing="0"/>
        <w:ind w:firstLine="709"/>
        <w:jc w:val="both"/>
        <w:rPr>
          <w:rStyle w:val="C3"/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Реферат — письменная работа объемом 10-18 печатных страниц, выполняемая студентом в течение длительного срока (от одной недели до месяца).</w:t>
        <w:br w:type="textWrapping"/>
      </w:r>
      <w:r>
        <w:rPr>
          <w:rStyle w:val="C3"/>
          <w:rFonts w:ascii="Times New Roman" w:hAnsi="Times New Roman"/>
          <w:color w:val="000000"/>
          <w:sz w:val="24"/>
        </w:rPr>
        <w:t>Функции реферата: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Информативная (ознакомительная); поисковая; справочная; сигнальная; индикативная; адресная коммуникативная.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Степень выполнения этих функций зависит от содержательных и формальных качеств реферата, а также от того, кто и для каких целей их использует.</w:t>
        <w:br w:type="textWrapping"/>
        <w:t>Требования к языку реферата: он должен отличаться точностью, краткостью, ясностью и простотой.</w:t>
      </w:r>
    </w:p>
    <w:p>
      <w:pPr>
        <w:spacing w:lineRule="auto" w:line="240" w:after="0" w:beforeAutospacing="0" w:afterAutospacing="0"/>
        <w:jc w:val="both"/>
        <w:rPr>
          <w:rStyle w:val="C3"/>
          <w:rFonts w:ascii="Times New Roman" w:hAnsi="Times New Roman"/>
          <w:color w:val="000000"/>
          <w:sz w:val="24"/>
        </w:rPr>
      </w:pPr>
      <w:r>
        <w:rPr>
          <w:rStyle w:val="C3"/>
          <w:rFonts w:ascii="Times New Roman" w:hAnsi="Times New Roman"/>
          <w:color w:val="000000"/>
          <w:sz w:val="24"/>
        </w:rPr>
        <w:t>Структура реферата: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Титульный лист (заполняется по единой форме, см. приложение А)</w:t>
      </w:r>
    </w:p>
    <w:p>
      <w:pPr>
        <w:numPr>
          <w:ilvl w:val="0"/>
          <w:numId w:val="7"/>
        </w:numPr>
        <w:tabs>
          <w:tab w:val="left" w:pos="360" w:leader="none"/>
          <w:tab w:val="clear" w:pos="720" w:leader="none"/>
        </w:tabs>
        <w:spacing w:lineRule="auto" w:line="240" w:after="0" w:beforeAutospacing="0" w:afterAutospacing="0"/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 </w:t>
      </w:r>
    </w:p>
    <w:p>
      <w:pPr>
        <w:numPr>
          <w:ilvl w:val="0"/>
          <w:numId w:val="7"/>
        </w:numPr>
        <w:tabs>
          <w:tab w:val="left" w:pos="360" w:leader="none"/>
          <w:tab w:val="clear" w:pos="720" w:leader="none"/>
        </w:tabs>
        <w:spacing w:lineRule="auto" w:line="240" w:after="0" w:beforeAutospacing="0" w:afterAutospacing="0"/>
        <w:ind w:firstLine="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После оглавления следует введение. Объем введения составляет 1,5-2 страницы. </w:t>
      </w:r>
    </w:p>
    <w:p>
      <w:pPr>
        <w:numPr>
          <w:ilvl w:val="0"/>
          <w:numId w:val="7"/>
        </w:numPr>
        <w:tabs>
          <w:tab w:val="left" w:pos="360" w:leader="none"/>
          <w:tab w:val="clear" w:pos="720" w:leader="none"/>
        </w:tabs>
        <w:spacing w:lineRule="auto" w:line="240" w:after="0" w:beforeAutospacing="0" w:afterAutospacing="0"/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 </w:t>
      </w:r>
    </w:p>
    <w:p>
      <w:pPr>
        <w:numPr>
          <w:ilvl w:val="0"/>
          <w:numId w:val="7"/>
        </w:numPr>
        <w:tabs>
          <w:tab w:val="left" w:pos="360" w:leader="none"/>
          <w:tab w:val="clear" w:pos="720" w:leader="none"/>
        </w:tabs>
        <w:spacing w:lineRule="auto" w:line="240" w:after="0" w:beforeAutospacing="0" w:afterAutospacing="0"/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 </w:t>
      </w:r>
    </w:p>
    <w:p>
      <w:pPr>
        <w:numPr>
          <w:ilvl w:val="0"/>
          <w:numId w:val="7"/>
        </w:numPr>
        <w:tabs>
          <w:tab w:val="left" w:pos="360" w:leader="none"/>
          <w:tab w:val="clear" w:pos="720" w:leader="none"/>
        </w:tabs>
        <w:spacing w:lineRule="auto" w:line="240" w:after="0" w:beforeAutospacing="0" w:afterAutospacing="0"/>
        <w:ind w:firstLine="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Приложение может включать графики, таблицы, расчеты. </w:t>
      </w:r>
    </w:p>
    <w:p>
      <w:pPr>
        <w:numPr>
          <w:ilvl w:val="0"/>
          <w:numId w:val="7"/>
        </w:numPr>
        <w:tabs>
          <w:tab w:val="left" w:pos="360" w:leader="none"/>
          <w:tab w:val="clear" w:pos="720" w:leader="none"/>
        </w:tabs>
        <w:spacing w:lineRule="auto" w:line="240" w:after="0" w:beforeAutospacing="0" w:afterAutospacing="0"/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Библиография (список литературы) здесь указывается реально использованная для написания реферата литература. Список составляется согласно правилам библиографического описания (Приложение В). </w:t>
      </w:r>
    </w:p>
    <w:p>
      <w:pPr>
        <w:spacing w:lineRule="auto" w:line="240" w:after="0" w:beforeAutospacing="0" w:afterAutospacing="0"/>
        <w:ind w:firstLine="709"/>
        <w:jc w:val="both"/>
        <w:rPr>
          <w:rStyle w:val="C3"/>
          <w:rFonts w:ascii="Times New Roman" w:hAnsi="Times New Roman"/>
          <w:color w:val="000000"/>
          <w:sz w:val="24"/>
        </w:rPr>
      </w:pPr>
      <w:r>
        <w:rPr>
          <w:rStyle w:val="C3"/>
          <w:rFonts w:ascii="Times New Roman" w:hAnsi="Times New Roman"/>
          <w:color w:val="000000"/>
          <w:sz w:val="24"/>
        </w:rPr>
        <w:t>Этапы работы над рефератом.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Работу над рефератом можно условно подразделить на три этапа: </w:t>
      </w:r>
    </w:p>
    <w:p>
      <w:pPr>
        <w:numPr>
          <w:ilvl w:val="0"/>
          <w:numId w:val="8"/>
        </w:numPr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Подготовительный этап, включающий изучение предмета исследования.</w:t>
      </w:r>
    </w:p>
    <w:p>
      <w:pPr>
        <w:numPr>
          <w:ilvl w:val="0"/>
          <w:numId w:val="8"/>
        </w:numPr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Изложение результатов изучения в виде связного текста.</w:t>
      </w:r>
    </w:p>
    <w:p>
      <w:pPr>
        <w:numPr>
          <w:ilvl w:val="0"/>
          <w:numId w:val="8"/>
        </w:numPr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Устное сообщение по теме реферата. </w:t>
      </w:r>
    </w:p>
    <w:p>
      <w:pPr>
        <w:spacing w:lineRule="auto" w:line="240" w:after="0" w:beforeAutospacing="0" w:afterAutospacing="0"/>
        <w:ind w:firstLine="709"/>
        <w:jc w:val="both"/>
        <w:rPr>
          <w:rStyle w:val="C3"/>
          <w:rFonts w:ascii="Times New Roman" w:hAnsi="Times New Roman"/>
          <w:color w:val="000000"/>
          <w:sz w:val="24"/>
        </w:rPr>
      </w:pPr>
      <w:r>
        <w:rPr>
          <w:rStyle w:val="C3"/>
          <w:rFonts w:ascii="Times New Roman" w:hAnsi="Times New Roman"/>
          <w:color w:val="000000"/>
          <w:sz w:val="24"/>
        </w:rPr>
        <w:t>Подготовительный этап работы. Формулировка темы: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Подготовительная работа над рефератом начинается с формулировки темы. Тема в концентрированном виде выражает содержание будущего текста, фиксируя как предмет исследования, так и его ожидаемый результат. Для того чтобы работа над рефератом была успешной, необходимо, чтобы тема заключала в себе проблему, скрытый вопрос (даже если наука уже давно дала ответ на этот вопрос, студент, 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Style w:val="C3"/>
          <w:rFonts w:ascii="Times New Roman" w:hAnsi="Times New Roman"/>
          <w:color w:val="000000"/>
          <w:sz w:val="24"/>
        </w:rPr>
        <w:t>Поиск источников.</w:t>
      </w:r>
      <w:r>
        <w:rPr>
          <w:rFonts w:ascii="Times New Roman" w:hAnsi="Times New Roman"/>
          <w:color w:val="000000"/>
          <w:sz w:val="24"/>
        </w:rPr>
        <w:t xml:space="preserve"> Грамотно сформулированная тема зафиксировала предмет изучения; задача студента — найти информацию, относящуюся к данному предмету и разрешить поставленную проблему.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Выполнение этой задачи начинается с поиска источников. На этом этапе необходимо вспомнить, как работать с энциклопедиями и энциклопедическими словарями (обращать особое внимание на список литературы, приведенный в конце тематической статьи); как работать с систематическими и алфавитными каталогами библиотек; как оформлять список литературы (выписывая выходные данные книги и отмечая библиотечный шифр).</w:t>
      </w:r>
    </w:p>
    <w:p>
      <w:pPr>
        <w:spacing w:lineRule="auto" w:line="240" w:after="0" w:beforeAutospacing="0" w:afterAutospacing="0"/>
        <w:ind w:firstLine="709"/>
        <w:jc w:val="both"/>
        <w:rPr>
          <w:rStyle w:val="C3"/>
          <w:rFonts w:ascii="Times New Roman" w:hAnsi="Times New Roman"/>
          <w:color w:val="000000"/>
          <w:sz w:val="24"/>
        </w:rPr>
      </w:pPr>
      <w:r>
        <w:rPr>
          <w:rStyle w:val="C3"/>
          <w:rFonts w:ascii="Times New Roman" w:hAnsi="Times New Roman"/>
          <w:color w:val="000000"/>
          <w:sz w:val="24"/>
        </w:rPr>
        <w:t>Работа с источниками.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  <w:br w:type="textWrapping"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  <w:br w:type="textWrapping"/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  <w:br w:type="textWrapping"/>
        <w:t>Понятно, что умение таким образом работать с текстом приходит далеко не сразу.</w:t>
        <w:br w:type="textWrapping"/>
        <w:t>Наилучший способ научиться выделять главное в тексте, улавливать проблематичный характер утверждений, давать оценку авторской позиции —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Создание конспектов для написания реферата: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Подготовительный этап работы завершается созданием конспектов, фиксирующих основные тезисы и аргументы. Здесь важно вспомнить, что конспекты пишутся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Если в конспектах приводятся цитаты, то непременно должно быть дано указание на источник (автор, название, выходные данные, № страницы).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 завершении предварительного этапа можно переходить непосредственно к созданию текста реферата.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Создание текста: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Общие требования к тексту.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Текст реферата должен подчиняться определенным требованиям: он должен раскрывать тему, обладать связностью и цельностью.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Раскрытие темы предполагает, что в тексте реферата излагается относящийся к теме материал и предлагаются пути решения содержащейся в теме проблемы; связность текста предполагает смысловую соотносительность отдельных компонентов, а цельность - смысловую законченность текста.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 точки зрения связности все тексты делятся на тексты - констатации и тексты - рассуждения. Тексты-констатации содержат результаты ознакомления с предметом и фиксируют устойчивые и несомненные суждения. В текстах-рассуждениях одни мысли извлекаются из других, некоторые ставятся под сомнение, дается им оценка, выдвигаются различные предположения.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План реферата</w:t>
      </w:r>
      <w:r>
        <w:rPr>
          <w:rFonts w:ascii="Times New Roman" w:hAnsi="Times New Roman"/>
          <w:color w:val="000000"/>
          <w:sz w:val="24"/>
        </w:rPr>
        <w:t>: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Изложение материала в тексте должно подчиняться определенному плану - мыслительной схеме, позволяющей контролировать порядок расположения частей текста. Универсальный план научного текста, помимо формулировки темы, предполагает изложение вводного материала, основного текста и заключения. Все научные работы - от реферата до докторской диссертации - строятся по этому плану, поэтому важно с самого начала научиться придерживаться данной схемы.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Требования к введению: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Введение - начальная часть текста. Оно имеет своей целью сориентировать читателя в дальнейшем изложении.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Во введении аргументируется актуальность исследования, - т.е. выявляется практическое и теоретическое значение данного исследования. Далее констатируется, что сделано в данной области предшественниками; перечисляются положения, которые должны быть обоснованы. Введение может также содержать обзор источников или экспериментальных данных, уточнение исходных понятий и терминов, сведения о методах исследования. Во введении обязательно формулируются цель и задачи реферата.</w:t>
        <w:br w:type="textWrapping"/>
        <w:t>Объем введения - в среднем около 10% от общего объема реферата.</w:t>
        <w:br w:type="textWrapping"/>
        <w:t>Основная часть реферата.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Основная часть реферата раскрывает содержание темы. Она наиболее значительна по объему, наиболее значима и ответственна. В ней обосновываются основные тезисы реферата, приводятся развернутые аргументы, предполагаются гипотезы, касающиеся существа обсуждаемого вопроса.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Важно проследить, чтобы основная часть не имела форму монолога. Аргументируя собственную позицию, можно и должно анализировать и оценивать позиции различных исследователей, с чем-то соглашаться, чему-то возражать, кого-то опровергать. Установка на диалог позволит избежать некритического заимствования материала из чужих трудов - компиляции.</w:t>
        <w:br w:type="textWrapping"/>
        <w:t>Изложение материала основной части подчиняется собственному плану, что отражается в разделении текста на главы, параграфы, пункты. План основной части может быть составлен с использованием различных методов группировки материала: классификации (эмпирические исследования), типологии (теоретические исследования), периодизации (исторические исследования).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Заключение:</w:t>
        <w:br w:type="textWrapping"/>
      </w:r>
      <w:r>
        <w:rPr>
          <w:rFonts w:ascii="Times New Roman" w:hAnsi="Times New Roman"/>
          <w:color w:val="000000"/>
          <w:sz w:val="24"/>
        </w:rPr>
        <w:t>Заключение — последняя часть научного текста. В ней краткой и сжатой форме излагаются полученные результаты, представляющие собой ответ на главный вопрос исследования. Здесь же могут намечаться и дальнейшие перспективы развития темы. Небольшое по объему сообщение также не может обойтись без заключительной части - пусть это будут две-три фразы. Но в них должен подводиться итог проделанной работы.</w:t>
        <w:br w:type="textWrapping"/>
        <w:t>Список использованной литературы.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Реферат любого уровня сложности обязательно сопровождается списком используемой литературы. Названия книг в списке располагают по алфавиту с указанием выходных данных использованных книг.</w:t>
      </w:r>
    </w:p>
    <w:p>
      <w:pPr>
        <w:spacing w:lineRule="auto" w:line="240" w:after="0" w:beforeAutospacing="0" w:afterAutospacing="0"/>
        <w:ind w:firstLine="709"/>
        <w:jc w:val="center"/>
        <w:rPr>
          <w:rStyle w:val="C3"/>
          <w:rFonts w:ascii="Times New Roman" w:hAnsi="Times New Roman"/>
          <w:color w:val="000000"/>
          <w:sz w:val="24"/>
        </w:rPr>
      </w:pPr>
      <w:r>
        <w:rPr>
          <w:rStyle w:val="C3"/>
          <w:rFonts w:ascii="Times New Roman" w:hAnsi="Times New Roman"/>
          <w:color w:val="000000"/>
          <w:sz w:val="24"/>
        </w:rPr>
        <w:t>Требования, предъявляемые к оформлению реферата: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Объемы рефератов колеблются от 10-18 машинописных страниц. Работа выполняется на одной стороне листа стандартного формата. По обеим сторонам листа оставляются поля размером 35 мм. слева и 15 мм. справа, рекомендуется шрифт 12-14, интервал - 1,5. Все листы реферата должны быть пронумерованы. Каждый вопрос в тексте должен иметь заголовок в точном соответствии с наименованием в плане-оглавлении. (Подробнее об этом смотрите в Приложении Б).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 написании и оформлении реферата следует избегать типичных ошибок, например, таких:</w:t>
      </w:r>
    </w:p>
    <w:p>
      <w:pPr>
        <w:pStyle w:val="P1"/>
        <w:numPr>
          <w:ilvl w:val="0"/>
          <w:numId w:val="9"/>
        </w:num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поверхностное изложение основных теоретических вопросов выбранной темы, когда автор не понимает, какие проблемы в тексте являются главными, а какие второстепенными, </w:t>
      </w:r>
    </w:p>
    <w:p>
      <w:pPr>
        <w:pStyle w:val="P1"/>
        <w:numPr>
          <w:ilvl w:val="0"/>
          <w:numId w:val="9"/>
        </w:num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некоторых случаях проблемы, рассматриваемые в разделах, не раскрывают основных аспектов выбранной для реферата темы, </w:t>
      </w:r>
    </w:p>
    <w:p>
      <w:pPr>
        <w:pStyle w:val="P1"/>
        <w:numPr>
          <w:ilvl w:val="0"/>
          <w:numId w:val="9"/>
        </w:num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дословное переписывание книг, статей, заимствования рефератов из интернета и т.д. 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разработке основной части текст реферата должен содержать следующее:</w:t>
      </w:r>
    </w:p>
    <w:p>
      <w:pPr>
        <w:pStyle w:val="P1"/>
        <w:numPr>
          <w:ilvl w:val="0"/>
          <w:numId w:val="10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введение;</w:t>
      </w:r>
    </w:p>
    <w:p>
      <w:pPr>
        <w:pStyle w:val="P1"/>
        <w:numPr>
          <w:ilvl w:val="0"/>
          <w:numId w:val="10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характеристика типа и класса предприятия общественного питания, описание его специализации;</w:t>
      </w:r>
    </w:p>
    <w:p>
      <w:pPr>
        <w:pStyle w:val="P1"/>
        <w:numPr>
          <w:ilvl w:val="0"/>
          <w:numId w:val="10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структура услуг предприятия общественного питания;</w:t>
      </w:r>
    </w:p>
    <w:p>
      <w:pPr>
        <w:pStyle w:val="P1"/>
        <w:numPr>
          <w:ilvl w:val="0"/>
          <w:numId w:val="10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понятие, виды и особенности мерчандайзинга;</w:t>
      </w:r>
    </w:p>
    <w:p>
      <w:pPr>
        <w:pStyle w:val="P1"/>
        <w:numPr>
          <w:ilvl w:val="0"/>
          <w:numId w:val="10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приемы мерчандайзинга в предприятиях общественного питания;</w:t>
      </w:r>
    </w:p>
    <w:p>
      <w:pPr>
        <w:pStyle w:val="P1"/>
        <w:numPr>
          <w:ilvl w:val="0"/>
          <w:numId w:val="10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заключение;</w:t>
      </w:r>
    </w:p>
    <w:p>
      <w:pPr>
        <w:pStyle w:val="P1"/>
        <w:numPr>
          <w:ilvl w:val="0"/>
          <w:numId w:val="10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список использованных источников.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 Выбор объекта исследования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  ГОСТ  30524-2013.  Услуги общественного питания. Требования к персоналу  составьте характеристику требований к обслуживающему персоналу.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09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3. Выбор метода мерчандайзинга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 основании указанных информационных источников и таблицы 1 ознакомьтесь с требованиями к персоналу в предприятиях города.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Таблица 1 – Требования к обслуживающему персоналу</w:t>
      </w:r>
    </w:p>
    <w:tbl>
      <w:tblPr>
        <w:tblStyle w:val="T2"/>
        <w:tblW w:w="0" w:type="auto"/>
        <w:tblLook w:val="04A0"/>
      </w:tblPr>
      <w:tblGrid/>
      <w:tr>
        <w:tc>
          <w:tcPr>
            <w:tcW w:w="2943" w:type="dxa"/>
          </w:tcPr>
          <w:p>
            <w:pPr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Требование </w:t>
            </w:r>
          </w:p>
        </w:tc>
        <w:tc>
          <w:tcPr>
            <w:tcW w:w="6521" w:type="dxa"/>
          </w:tcPr>
          <w:p>
            <w:pPr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Характеристика</w:t>
            </w:r>
          </w:p>
        </w:tc>
      </w:tr>
      <w:tr>
        <w:tc>
          <w:tcPr>
            <w:tcW w:w="2943" w:type="dxa"/>
          </w:tcPr>
          <w:p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Форменная одежда</w:t>
            </w:r>
          </w:p>
        </w:tc>
        <w:tc>
          <w:tcPr>
            <w:tcW w:w="6521" w:type="dxa"/>
          </w:tcPr>
          <w:p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w="2943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Форменная обувь</w:t>
            </w:r>
          </w:p>
        </w:tc>
        <w:tc>
          <w:tcPr>
            <w:tcW w:w="6521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2943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Прическа</w:t>
            </w:r>
          </w:p>
        </w:tc>
        <w:tc>
          <w:tcPr>
            <w:tcW w:w="6521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2943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Косметика </w:t>
            </w:r>
          </w:p>
        </w:tc>
        <w:tc>
          <w:tcPr>
            <w:tcW w:w="6521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2943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Парфюмерия </w:t>
            </w:r>
          </w:p>
        </w:tc>
        <w:tc>
          <w:tcPr>
            <w:tcW w:w="6521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2943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Украшения </w:t>
            </w:r>
          </w:p>
        </w:tc>
        <w:tc>
          <w:tcPr>
            <w:tcW w:w="6521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2943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Санитарно-гигиенические требования</w:t>
            </w:r>
          </w:p>
        </w:tc>
        <w:tc>
          <w:tcPr>
            <w:tcW w:w="6521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2943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521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2943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521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Подберите иллюстрации по данной работе, например, фотографии официантов и барменов в форменной одежде. Рисунки должны быть оформлены в соответствии с основными требованиями: ссылка на рисунок должна даваться по тексту, каждый рисунок должен быть пронумерован и иметь название, либо рисунки оформляются в приложении.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  <w:t>Образец: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noProof w:val="1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noProof w:val="1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noProof w:val="1"/>
          <w:sz w:val="24"/>
        </w:rPr>
      </w:pPr>
      <w:r>
        <w:drawing>
          <wp:inline xmlns:wp="http://schemas.openxmlformats.org/drawingml/2006/wordprocessingDrawing">
            <wp:extent cx="5438775" cy="407924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0792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Рисунок 1 – Официант в форменной одежде</w:t>
      </w:r>
    </w:p>
    <w:p>
      <w:pPr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 </w:t>
      </w: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Самостоятельная работа  № 2</w:t>
      </w: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Тема:</w:t>
      </w:r>
      <w:r>
        <w:rPr>
          <w:rFonts w:ascii="Times New Roman" w:hAnsi="Times New Roman"/>
          <w:sz w:val="24"/>
        </w:rPr>
        <w:t xml:space="preserve"> Составление рефератов «Выписка счетов, внесение изменений в счет, производство расчетов с клиентом».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Цели: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структурировать изученный материал;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определять причинно – следственные связи;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осуществлять поиск и подбор иллюстрированного материала.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Средства оснащения:</w:t>
      </w:r>
    </w:p>
    <w:p>
      <w:pPr>
        <w:pStyle w:val="P1"/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раздаточный материал «Выписка счетов».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Перечень рекомендуемых источников:</w:t>
      </w:r>
    </w:p>
    <w:p>
      <w:pPr>
        <w:pStyle w:val="P1"/>
        <w:numPr>
          <w:ilvl w:val="0"/>
          <w:numId w:val="22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Кучер Л.С, Шкуратова Л.М. Организация обслуживания на предприятиях общественного питания. – М.: Деловая литература, 2012. </w:t>
      </w: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Порядок выполнения работы</w:t>
      </w:r>
    </w:p>
    <w:p>
      <w:pPr>
        <w:pStyle w:val="P1"/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Оформите реферат на указанную тему в соответствии с требования указанными в порядке выполнения работ в самостоятельной  работы № 1.</w:t>
      </w:r>
    </w:p>
    <w:p>
      <w:pPr>
        <w:jc w:val="center"/>
        <w:rPr>
          <w:rFonts w:ascii="Times New Roman" w:hAnsi="Times New Roman"/>
          <w:b w:val="1"/>
          <w:sz w:val="24"/>
        </w:rPr>
      </w:pP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Самостоятельная работа  № 3</w:t>
      </w: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Тема:</w:t>
      </w:r>
      <w:r>
        <w:rPr>
          <w:rFonts w:ascii="Times New Roman" w:hAnsi="Times New Roman"/>
          <w:sz w:val="24"/>
        </w:rPr>
        <w:t xml:space="preserve"> Составление реферата «Определение подлинности и платежности бумажных денежных знаков».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Цели: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структурировать изученный материал;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определять причинно – следственные связи;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осуществлять поиск и подбор иллюстрированного материала.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Средства оснащения:</w:t>
      </w:r>
    </w:p>
    <w:p>
      <w:pPr>
        <w:pStyle w:val="P1"/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раздаточный материал «Выписка счетов».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Перечень рекомендуемых источников:</w:t>
      </w:r>
    </w:p>
    <w:p>
      <w:pPr>
        <w:pStyle w:val="P1"/>
        <w:numPr>
          <w:ilvl w:val="0"/>
          <w:numId w:val="22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Кучер Л.С, Шкуратова Л.М. Организация обслуживания на предприятиях общественного питания. – М.: Деловая литература, 2012. </w:t>
      </w: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Порядок выполнения работы</w:t>
      </w:r>
    </w:p>
    <w:p>
      <w:pPr>
        <w:pStyle w:val="P1"/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Оформите реферат на указанную тему в соответствии с требования указанными в порядке выполнения работ в самостоятельной  работы № 1.</w:t>
      </w: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Самостоятельная работа  № 4</w:t>
      </w: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Тема:</w:t>
      </w:r>
      <w:r>
        <w:rPr>
          <w:rFonts w:ascii="Times New Roman" w:hAnsi="Times New Roman"/>
          <w:sz w:val="24"/>
        </w:rPr>
        <w:t xml:space="preserve"> Оформление отчетных документов по расчету с владельцами платежных документов.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Цели: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структурировать изученный материал;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определять причинно – следственные связи;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осуществлять поиск и подбор иллюстрированного материала.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Средства оснащения:</w:t>
      </w:r>
    </w:p>
    <w:p>
      <w:pPr>
        <w:pStyle w:val="P1"/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раздаточный материал «Выписка счетов».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Перечень рекомендуемых источников:</w:t>
      </w:r>
    </w:p>
    <w:p>
      <w:pPr>
        <w:pStyle w:val="P1"/>
        <w:numPr>
          <w:ilvl w:val="0"/>
          <w:numId w:val="22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Кучер Л.С, Шкуратова Л.М. Организация обслуживания на предприятиях общественного питания. – М.: Деловая литература, 2012. </w:t>
      </w: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Порядок выполнения работы</w:t>
      </w:r>
    </w:p>
    <w:p>
      <w:pPr>
        <w:pStyle w:val="P1"/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drawing>
          <wp:inline xmlns:wp="http://schemas.openxmlformats.org/drawingml/2006/wordprocessingDrawing">
            <wp:extent cx="5940425" cy="445516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2. </w:t>
      </w:r>
      <w:r>
        <w:rPr>
          <w:rFonts w:ascii="Times New Roman" w:hAnsi="Times New Roman"/>
          <w:sz w:val="24"/>
        </w:rPr>
        <w:t>Оформите платежное поручение по образцу</w:t>
      </w: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4"/>
        </w:rPr>
      </w:pPr>
      <w:r>
        <w:drawing>
          <wp:inline xmlns:wp="http://schemas.openxmlformats.org/drawingml/2006/wordprocessingDrawing">
            <wp:extent cx="5940425" cy="7903845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0384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Приложение А</w:t>
      </w: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Оформление титульного листа</w:t>
      </w: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Государственное автономное профессиональное образовательное учреждение Чувашской Республики</w:t>
      </w: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«Чебоксарский экономико-технологический колледж»</w:t>
      </w: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Министерства образования  и молодежной политики Чувашской Республики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Реферат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тему:_______________________________________________________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mc:AlternateContent>
          <mc:Choice Requires="wps">
            <w:rPr>
              <w:rFonts w:ascii="Times New Roman" w:hAnsi="Times New Roman"/>
              <w:noProof w:val="1"/>
              <w:sz w:val="24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3086100</wp:posOffset>
                </wp:positionH>
                <wp:positionV relativeFrom="paragraph">
                  <wp:posOffset>69215</wp:posOffset>
                </wp:positionV>
                <wp:extent cx="2628900" cy="2118360"/>
                <wp:wrapNone/>
                <wp:docPr id="4" name="_x0000_s10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11836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lineRule="auto" w:line="240" w:after="0" w:beforeAutospacing="0" w:afterAutospacing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Выполнил(а):</w:t>
                            </w:r>
                          </w:p>
                          <w:p>
                            <w:pPr>
                              <w:spacing w:lineRule="auto" w:line="240" w:after="0" w:beforeAutospacing="0" w:afterAutospacing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Студент(ка) ____ курса</w:t>
                            </w:r>
                          </w:p>
                          <w:p>
                            <w:pPr>
                              <w:spacing w:lineRule="auto" w:line="240" w:after="0" w:beforeAutospacing="0" w:afterAutospacing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Специальности: _________________</w:t>
                            </w:r>
                          </w:p>
                          <w:p>
                            <w:pPr>
                              <w:spacing w:lineRule="auto" w:line="240" w:after="0" w:beforeAutospacing="0" w:afterAutospacing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</w:t>
                            </w:r>
                          </w:p>
                          <w:p>
                            <w:pPr>
                              <w:spacing w:lineRule="auto" w:line="240" w:after="0" w:beforeAutospacing="0" w:afterAutospacing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Группы: _______________________</w:t>
                            </w:r>
                          </w:p>
                          <w:p>
                            <w:pPr>
                              <w:spacing w:lineRule="auto" w:line="240" w:after="0" w:beforeAutospacing="0" w:afterAutospacing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Ф.И.О._________________________</w:t>
                            </w:r>
                          </w:p>
                          <w:p>
                            <w:pPr>
                              <w:spacing w:lineRule="auto" w:line="240" w:after="0" w:beforeAutospacing="0" w:afterAutospacing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Проверил:</w:t>
                            </w:r>
                          </w:p>
                          <w:p>
                            <w:pPr>
                              <w:spacing w:lineRule="auto" w:line="240" w:after="0" w:beforeAutospacing="0" w:afterAutospacing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Ф.И.О._________________________</w:t>
                            </w:r>
                          </w:p>
                          <w:p>
                            <w:pPr>
                              <w:spacing w:lineRule="auto" w:line="240" w:after="0" w:beforeAutospacing="0" w:afterAutospacing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Дата:_______Оценка:________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5" path="m,l,21600r21600,l21600,xe"/>
              <v:shape xmlns:o="urn:schemas-microsoft-com:office:office" type="#5" id="_x0000_s1029" style="position:absolute;width:207pt;height:166,8pt;z-index:1;mso-wrap-distance-left:9pt;mso-wrap-distance-top:0pt;mso-wrap-distance-right:9pt;mso-wrap-distance-bottom:0pt;margin-left:243pt;margin-top:5,45pt;mso-position-horizontal:absolute;mso-position-horizontal-relative:text;mso-position-vertical:absolute;mso-position-vertical-relative:text" fillcolor="#FFFFFF" strokecolor="#FFFFFF" strokeweight="0pt" o:allowincell="t">
                <v:textbox style="mso-fit-shape-to-text:f">
                  <w:txbxContent>
                    <w:p>
                      <w:pPr>
                        <w:spacing w:lineRule="auto" w:line="240" w:after="0" w:beforeAutospacing="0" w:afterAutospacing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Выполнил(а):</w:t>
                      </w:r>
                    </w:p>
                    <w:p>
                      <w:pPr>
                        <w:spacing w:lineRule="auto" w:line="240" w:after="0" w:beforeAutospacing="0" w:afterAutospacing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Студент(ка) ____ курса</w:t>
                      </w:r>
                    </w:p>
                    <w:p>
                      <w:pPr>
                        <w:spacing w:lineRule="auto" w:line="240" w:after="0" w:beforeAutospacing="0" w:afterAutospacing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Специальности: _________________</w:t>
                      </w:r>
                    </w:p>
                    <w:p>
                      <w:pPr>
                        <w:spacing w:lineRule="auto" w:line="240" w:after="0" w:beforeAutospacing="0" w:afterAutospacing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</w:t>
                      </w:r>
                    </w:p>
                    <w:p>
                      <w:pPr>
                        <w:spacing w:lineRule="auto" w:line="240" w:after="0" w:beforeAutospacing="0" w:afterAutospacing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Группы: _______________________</w:t>
                      </w:r>
                    </w:p>
                    <w:p>
                      <w:pPr>
                        <w:spacing w:lineRule="auto" w:line="240" w:after="0" w:beforeAutospacing="0" w:afterAutospacing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Ф.И.О._________________________</w:t>
                      </w:r>
                    </w:p>
                    <w:p>
                      <w:pPr>
                        <w:spacing w:lineRule="auto" w:line="240" w:after="0" w:beforeAutospacing="0" w:afterAutospacing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Проверил:</w:t>
                      </w:r>
                    </w:p>
                    <w:p>
                      <w:pPr>
                        <w:spacing w:lineRule="auto" w:line="240" w:after="0" w:beforeAutospacing="0" w:afterAutospacing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Ф.И.О._________________________</w:t>
                      </w:r>
                    </w:p>
                    <w:p>
                      <w:pPr>
                        <w:spacing w:lineRule="auto" w:line="240" w:after="0" w:beforeAutospacing="0" w:afterAutospacing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Дата:_______Оценка:________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Чебоксары 2019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br w:type="page"/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Приложение Б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Обязательные требования к оформлению реферата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Перечисленные требования являются обязательными для получения высшей отметки (баллов)</w:t>
      </w:r>
    </w:p>
    <w:p>
      <w:pPr>
        <w:numPr>
          <w:ilvl w:val="0"/>
          <w:numId w:val="11"/>
        </w:numPr>
        <w:spacing w:lineRule="auto" w:line="240" w:after="0" w:beforeAutospacing="0" w:afterAutospacing="0"/>
        <w:ind w:firstLine="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Абзац включает в себя не менее 3-х предложений. </w:t>
      </w:r>
    </w:p>
    <w:p>
      <w:pPr>
        <w:numPr>
          <w:ilvl w:val="0"/>
          <w:numId w:val="11"/>
        </w:numPr>
        <w:spacing w:lineRule="auto" w:line="240" w:after="0" w:beforeAutospacing="0" w:afterAutospacing="0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Название каждой главы начинается с новой страницы, объем главы не может быть меньше 5 страниц. </w:t>
      </w:r>
    </w:p>
    <w:p>
      <w:pPr>
        <w:numPr>
          <w:ilvl w:val="0"/>
          <w:numId w:val="11"/>
        </w:numPr>
        <w:spacing w:lineRule="auto" w:line="240" w:after="0" w:beforeAutospacing="0" w:afterAutospacing="0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тексте должны отсутствовать сокращения, кроме общепринятых, общепринятые или необходимые сокращения при первоначальном употреблении должны быть расшифрованы. </w:t>
      </w:r>
    </w:p>
    <w:p>
      <w:pPr>
        <w:numPr>
          <w:ilvl w:val="0"/>
          <w:numId w:val="11"/>
        </w:numPr>
        <w:spacing w:lineRule="auto" w:line="240" w:after="0" w:beforeAutospacing="0" w:afterAutospacing="0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Каждая цитата, каждый рисунок или график, каждая формула, каждый расчет должны иметь сноску. Если рисунок или расчет являются авторскими, тогда это необходимо отразить в тексте сноски. </w:t>
      </w:r>
    </w:p>
    <w:p>
      <w:pPr>
        <w:numPr>
          <w:ilvl w:val="0"/>
          <w:numId w:val="11"/>
        </w:numPr>
        <w:spacing w:lineRule="auto" w:line="240" w:after="0" w:beforeAutospacing="0" w:afterAutospacing="0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Сноска может быть сделана двумя способами: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— традиционный вариант (через «вставка / сноска»)</w:t>
        <w:br w:type="textWrapping"/>
        <w:t xml:space="preserve">— «построчная» способом [5.210], где первая цифра означает порядковый номер источника из списка литература, а вторая - номер страницы. </w:t>
      </w:r>
    </w:p>
    <w:p>
      <w:pPr>
        <w:numPr>
          <w:ilvl w:val="0"/>
          <w:numId w:val="11"/>
        </w:numPr>
        <w:spacing w:lineRule="auto" w:line="240" w:after="0" w:beforeAutospacing="0" w:afterAutospacing="0"/>
        <w:ind w:hanging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Работа предоставляется как в рукописном виде (почерк читаемый, т.е. разборчивый), так и в напечатанном виде через 1.5 интервала. Размер шрифта - 12-14 Вся работа должна быть напечатана в одном виде шрифта, если это не смысловое выделение по тексту. </w:t>
      </w:r>
    </w:p>
    <w:p>
      <w:pPr>
        <w:numPr>
          <w:ilvl w:val="0"/>
          <w:numId w:val="11"/>
        </w:numPr>
        <w:spacing w:lineRule="auto" w:line="240" w:after="0" w:beforeAutospacing="0" w:afterAutospacing="0"/>
        <w:ind w:firstLine="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Сносок должно быть не меньше, чем источников литературы.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b w:val="1"/>
          <w:sz w:val="24"/>
        </w:rPr>
        <w:t>Приложение В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Оформление списка литературы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Список использованной литературы и других источников составляется в следующей последовательности:</w:t>
      </w:r>
    </w:p>
    <w:p>
      <w:pPr>
        <w:numPr>
          <w:ilvl w:val="0"/>
          <w:numId w:val="12"/>
        </w:numPr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Законы, постановления правительства. </w:t>
      </w:r>
    </w:p>
    <w:p>
      <w:pPr>
        <w:numPr>
          <w:ilvl w:val="0"/>
          <w:numId w:val="12"/>
        </w:numPr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Нормативные акты, инструктивные материалы, официальные справочники. </w:t>
      </w:r>
    </w:p>
    <w:p>
      <w:pPr>
        <w:numPr>
          <w:ilvl w:val="0"/>
          <w:numId w:val="12"/>
        </w:numPr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Специальная литература. </w:t>
      </w:r>
    </w:p>
    <w:p>
      <w:pPr>
        <w:numPr>
          <w:ilvl w:val="0"/>
          <w:numId w:val="12"/>
        </w:numPr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Периодические издания. 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 составлении списка использованной литературы указываются все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год, а также занимаемые страницы (от и до). Литературные источники должны быть расположены в алфавитном порядке по фамилиям авторов, в случае, если количество авторов более трех - по названию книги, остальные материалы в хронологическом порядке. Сначала должны быть указаны источники на русском языке, затем на иностранном.</w:t>
      </w:r>
    </w:p>
    <w:p>
      <w:pPr>
        <w:spacing w:lineRule="auto" w:line="240" w:after="0" w:beforeAutospacing="0" w:afterAutospacing="0"/>
        <w:ind w:firstLine="709"/>
        <w:jc w:val="both"/>
        <w:rPr>
          <w:rStyle w:val="C3"/>
          <w:rFonts w:ascii="Times New Roman" w:hAnsi="Times New Roman"/>
          <w:color w:val="000000"/>
          <w:sz w:val="24"/>
        </w:rPr>
      </w:pPr>
      <w:r>
        <w:rPr>
          <w:rStyle w:val="C3"/>
          <w:rFonts w:ascii="Times New Roman" w:hAnsi="Times New Roman"/>
          <w:color w:val="000000"/>
          <w:sz w:val="24"/>
        </w:rPr>
        <w:t>Пример оформления списка использованной литературы: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Монографии</w:t>
        <w:br w:type="textWrapping"/>
        <w:t>Институциональная инфраструктура пенсионной реформы в России. Авт. коллектив А.З.Астапович, У.Бирминхем, Л.М. Григорьев и др. М., Бюро экономического анализа.1998 - 157с.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Учебники и учебные пособия Нуреев Р.М. Курс микроэкономики. Учебник для вузов. Москва. НОРМА-ИНФРА.М., 1998 - 560с.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Периодические издания Портной М.А. "Сверяя часы" с Европой. Журнал "Бизнес- образование", выпуск 2.1997. С. 30-35.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Источники из Интернет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Statsoft. Ins. (1999). Электронный учебник по статистике. Москва, Statsoft. Web: http//www.statsoft.ru/home/textbook.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>
      <w:pPr>
        <w:pageBreakBefore w:val="1"/>
        <w:suppressAutoHyphens w:val="1"/>
        <w:spacing w:lineRule="auto" w:line="240" w:after="0" w:beforeAutospacing="0" w:afterAutospacing="0"/>
        <w:ind w:firstLine="36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СПИСОК РЕКОМЕНДОВАННОЙ ЛИТЕРАТУРЫ</w:t>
      </w:r>
    </w:p>
    <w:p>
      <w:pPr>
        <w:suppressAutoHyphens w:val="1"/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 Печатные издания</w:t>
      </w:r>
    </w:p>
    <w:p>
      <w:pPr>
        <w:numPr>
          <w:ilvl w:val="0"/>
          <w:numId w:val="25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ind w:firstLine="77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 РФ от 07.02.1992 № 2300-1 О защите прав потребителей</w:t>
      </w:r>
    </w:p>
    <w:p>
      <w:pPr>
        <w:numPr>
          <w:ilvl w:val="0"/>
          <w:numId w:val="25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ind w:firstLine="77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 Правительства РФ от 15.08.1997 N 1036 (ред. от 04.10.2012)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ind w:firstLine="7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"Об утверждении Правил оказания услуг общественного питания" </w:t>
      </w:r>
    </w:p>
    <w:p>
      <w:pPr>
        <w:numPr>
          <w:ilvl w:val="0"/>
          <w:numId w:val="24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ind w:firstLine="77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 Главного государственного санитарного врача РФ от 08.11.2001 N 31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ind w:firstLine="7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(ред. от 10.06.2016) "О введении в действие санитарных правил"</w:t>
      </w:r>
    </w:p>
    <w:p>
      <w:pPr>
        <w:numPr>
          <w:ilvl w:val="0"/>
          <w:numId w:val="24"/>
        </w:numPr>
        <w:spacing w:lineRule="auto" w:line="240" w:after="0" w:beforeAutospacing="0" w:afterAutospacing="0"/>
        <w:ind w:firstLine="77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ГОСТ Р 50647-2010. Национальный стандарт российской федерации</w:t>
      </w:r>
    </w:p>
    <w:p>
      <w:pPr>
        <w:numPr>
          <w:ilvl w:val="0"/>
          <w:numId w:val="24"/>
        </w:numPr>
        <w:spacing w:lineRule="auto" w:line="240" w:after="0" w:beforeAutospacing="0" w:afterAutospacing="0"/>
        <w:ind w:firstLine="77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ГОСТ Р 50764-2009 Услуги общественного питания. Общие требования;</w:t>
      </w:r>
    </w:p>
    <w:p>
      <w:pPr>
        <w:numPr>
          <w:ilvl w:val="0"/>
          <w:numId w:val="24"/>
        </w:numPr>
        <w:spacing w:lineRule="auto" w:line="240" w:after="0" w:beforeAutospacing="0" w:afterAutospacing="0"/>
        <w:ind w:firstLine="77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ГОСТ 50762-2009 Общественное питание. Классификация предприятий;</w:t>
      </w:r>
    </w:p>
    <w:p>
      <w:pPr>
        <w:numPr>
          <w:ilvl w:val="0"/>
          <w:numId w:val="24"/>
        </w:numPr>
        <w:spacing w:lineRule="auto" w:line="240" w:after="0" w:beforeAutospacing="0" w:afterAutospacing="0"/>
        <w:ind w:firstLine="77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ГОСТ Р 50935-2007 Услуги общественного питания. Требования к персоналу.</w:t>
      </w:r>
    </w:p>
    <w:p>
      <w:pPr>
        <w:numPr>
          <w:ilvl w:val="0"/>
          <w:numId w:val="24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ind w:firstLine="77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Счесленок Л.Л., Полякова Ю.В., Сынгаевская Л.П. Организация обслуживания в организациях общественного питания. - М.: Издательский центр «Академия», 2016.</w:t>
      </w:r>
    </w:p>
    <w:p>
      <w:pPr>
        <w:numPr>
          <w:ilvl w:val="0"/>
          <w:numId w:val="24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ind w:firstLine="77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Богданова В.В. Организация и технология обслуживания в барах. - М.: Издательский центр «Академия», 2012.</w:t>
      </w:r>
    </w:p>
    <w:p>
      <w:pPr>
        <w:numPr>
          <w:ilvl w:val="0"/>
          <w:numId w:val="24"/>
        </w:numPr>
        <w:spacing w:lineRule="auto" w:line="240" w:after="0" w:beforeAutospacing="0" w:afterAutospacing="0"/>
        <w:ind w:firstLine="77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Ёхина М. А. Организация обслуживания в гостиницах М.: Издательский центр «Академия», 2015.</w:t>
      </w:r>
    </w:p>
    <w:p>
      <w:pPr>
        <w:numPr>
          <w:ilvl w:val="0"/>
          <w:numId w:val="24"/>
        </w:numPr>
        <w:spacing w:lineRule="auto" w:line="240" w:after="0" w:beforeAutospacing="0" w:afterAutospacing="0"/>
        <w:ind w:firstLine="77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Потапова И.И. Организация обслуживания гостей в процессе проживания. - М.: Издательский центр «Академия», 2015.</w:t>
      </w:r>
    </w:p>
    <w:p>
      <w:pPr>
        <w:numPr>
          <w:ilvl w:val="0"/>
          <w:numId w:val="24"/>
        </w:numPr>
        <w:spacing w:lineRule="auto" w:line="240" w:after="0" w:beforeAutospacing="0" w:afterAutospacing="0"/>
        <w:ind w:firstLine="77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"http://www.academia-moscow.ru/authors/detail/44635/"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Шеламова Г.М.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Деловая культура взаимодействия. - М.: Издательский центр </w:t>
      </w:r>
    </w:p>
    <w:p>
      <w:pPr>
        <w:spacing w:lineRule="auto" w:line="240" w:after="0" w:beforeAutospacing="0" w:afterAutospacing="0"/>
        <w:ind w:firstLine="7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«Академия», 2012. </w:t>
      </w:r>
    </w:p>
    <w:p>
      <w:pPr>
        <w:numPr>
          <w:ilvl w:val="0"/>
          <w:numId w:val="24"/>
        </w:numPr>
        <w:spacing w:lineRule="auto" w:line="240" w:after="0" w:beforeAutospacing="0" w:afterAutospacing="0"/>
        <w:ind w:firstLine="77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"http://www.academia-moscow.ru/authors/detail/47576/"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Томашевская К. В.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"http://www.academia-moscow.ru/authors/detail/47577/"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Соколова Е. А.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"http://www.academia-moscow.ru/catalogue/4902/38794/"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 xml:space="preserve">Речевая коммуникация в туристской сфере </w:t>
      </w:r>
      <w:r>
        <w:rPr>
          <w:rFonts w:ascii="Times New Roman" w:hAnsi="Times New Roman"/>
          <w:sz w:val="24"/>
        </w:rPr>
        <w:fldChar w:fldCharType="end"/>
      </w:r>
    </w:p>
    <w:p>
      <w:pPr>
        <w:spacing w:lineRule="auto" w:line="240" w:after="0" w:beforeAutospacing="0" w:afterAutospacing="0"/>
        <w:ind w:firstLine="7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М.: Издательский центр «Академия», 2012.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ind w:firstLine="7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  <w:shd w:val="clear" w:fill="FFFFFF"/>
        </w:rPr>
        <w:t xml:space="preserve">12. </w:t>
      </w:r>
      <w:r>
        <w:rPr>
          <w:rFonts w:ascii="Times New Roman" w:hAnsi="Times New Roman"/>
          <w:sz w:val="24"/>
          <w:shd w:val="clear" w:fill="FFFFFF"/>
        </w:rPr>
        <w:t>Тимохина, Т. Л. Гостиничная индустрия : учебник для СПО / Т. Л. Тимохина. — М. : Издательство Юрайт, 2017. — 336 с. — (Профессиональное образование). — ISBN 978-5-534-04589-5. https://www.biblio-online.ru/viewer/12AC7584-3AAC-48DC-A720-4CA49A6FD829#page/1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ind w:firstLine="7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fill="FFFFFF"/>
        </w:rPr>
        <w:t>13. Тимохина, Т. Л. Гостиничный сервис : учебник для СПО / Т. Л. Тимохина. — М. : Издательство Юрайт, 2017. — 331 с. — (Профессиональное образование). — ISBN 978-5-534-03427-1. https://www.biblio-online.ru/viewer/05FBCB8B-ADDB-4861-869C-83A61B803759#page/1</w:t>
      </w:r>
    </w:p>
    <w:p>
      <w:pPr>
        <w:spacing w:lineRule="auto" w:line="240" w:after="0" w:beforeAutospacing="0" w:afterAutospacing="0"/>
        <w:ind w:firstLine="770"/>
        <w:jc w:val="both"/>
        <w:rPr>
          <w:rFonts w:ascii="Times New Roman" w:hAnsi="Times New Roman"/>
          <w:sz w:val="24"/>
          <w:shd w:val="clear" w:fill="FFFFFF"/>
        </w:rPr>
      </w:pPr>
      <w:r>
        <w:rPr>
          <w:rFonts w:ascii="Times New Roman" w:hAnsi="Times New Roman"/>
          <w:sz w:val="24"/>
        </w:rPr>
        <w:t xml:space="preserve">14. </w:t>
      </w:r>
      <w:r>
        <w:rPr>
          <w:rFonts w:ascii="Times New Roman" w:hAnsi="Times New Roman"/>
          <w:sz w:val="24"/>
          <w:shd w:val="clear" w:fill="FFFFFF"/>
        </w:rPr>
        <w:t>Сологубова, Г. С. Организация обслуживания на предприятиях общественного питания : учебник для СПО / Г. С. Сологубова. — 2-е изд., испр. и доп. — М. : Издательство Юрайт, 2017. — 379 с. — (Профессиональное образование). — ISBN 978-5-534-01301-6. https://www.biblio-online.ru/viewer/6D14FBD4-0211-4C10-B21D-A62B7F2AD698#page/1</w:t>
      </w:r>
    </w:p>
    <w:p>
      <w:pPr>
        <w:spacing w:lineRule="auto" w:line="240" w:after="0" w:beforeAutospacing="0" w:afterAutospacing="0"/>
        <w:ind w:firstLine="770"/>
        <w:jc w:val="both"/>
        <w:rPr>
          <w:rFonts w:ascii="Times New Roman" w:hAnsi="Times New Roman"/>
          <w:sz w:val="24"/>
          <w:shd w:val="clear" w:fill="FFFFFF"/>
        </w:rPr>
      </w:pPr>
      <w:r>
        <w:rPr>
          <w:rFonts w:ascii="Times New Roman" w:hAnsi="Times New Roman"/>
          <w:sz w:val="24"/>
          <w:shd w:val="clear" w:fill="FFFFFF"/>
        </w:rPr>
        <w:t>15. Пасько, О. В. Проектирование предприятий общественного питания. Доготовочные цеха и торговые помещения : учебное пособие для СПО / О. В. Пасько, О. В. Автюхова. — 2-е изд., испр. и доп. — М. : Издательство Юрайт, 2017. — 201 с. — (Профессиональное образование). — ISBN 978-5-534-02479-1. https://www.biblio-online.ru/viewer/1F1C9F54-B7F2-4D64-B86E-CE6A3192DEE3#page/1</w:t>
      </w:r>
    </w:p>
    <w:p>
      <w:pPr>
        <w:spacing w:lineRule="auto" w:line="240" w:after="0" w:beforeAutospacing="0" w:afterAutospacing="0"/>
        <w:ind w:firstLine="770"/>
        <w:jc w:val="both"/>
        <w:rPr>
          <w:rFonts w:ascii="Times New Roman" w:hAnsi="Times New Roman"/>
          <w:sz w:val="24"/>
          <w:shd w:val="clear" w:fill="FFFFFF"/>
        </w:rPr>
      </w:pPr>
      <w:r>
        <w:rPr>
          <w:rFonts w:ascii="Times New Roman" w:hAnsi="Times New Roman"/>
          <w:sz w:val="24"/>
          <w:shd w:val="clear" w:fill="FFFFFF"/>
        </w:rPr>
        <w:t>16. Васильева, И. В. Технология продукции общественного питания : учебник и практикум для СПО / И. В. Васильева, Е. Н. Мясникова, А. С. Безряднова. — 2-е изд., перераб. и доп. — М. : Издательство Юрайт, 2017. — 414 с. — (Профессиональное образование). — ISBN 978-5-534-04897-1. https://www.biblio-online.ru/viewer/9E061508-836A-4A56-92F1-428AB79D2918#page/1</w:t>
      </w:r>
    </w:p>
    <w:p>
      <w:pPr>
        <w:spacing w:lineRule="auto" w:line="240" w:after="0" w:beforeAutospacing="0" w:afterAutospacing="0"/>
        <w:ind w:firstLine="770"/>
        <w:jc w:val="both"/>
        <w:rPr>
          <w:rFonts w:ascii="Times New Roman" w:hAnsi="Times New Roman"/>
          <w:sz w:val="24"/>
          <w:shd w:val="clear" w:fill="FFFFFF"/>
        </w:rPr>
      </w:pPr>
      <w:r>
        <w:rPr>
          <w:rFonts w:ascii="Times New Roman" w:hAnsi="Times New Roman"/>
          <w:sz w:val="24"/>
          <w:shd w:val="clear" w:fill="FFFFFF"/>
        </w:rPr>
        <w:t xml:space="preserve">17. Пасько, О. В. Технология продукции общественного питания. Лабораторный практикум : учебное пособие для СПО / О. В. Пасько, О. В. Автюхова. — 2-е изд., испр. и доп. — М. : Издательство Юрайт, 2017. — 248 с. — (Профессиональное образование). — ISBN 978-5-534-01244-6. </w:t>
      </w:r>
    </w:p>
    <w:p>
      <w:pPr>
        <w:spacing w:lineRule="auto" w:line="240" w:after="0" w:beforeAutospacing="0" w:afterAutospacing="0"/>
        <w:ind w:firstLine="770"/>
        <w:jc w:val="both"/>
        <w:rPr>
          <w:rFonts w:ascii="Times New Roman" w:hAnsi="Times New Roman"/>
          <w:sz w:val="24"/>
          <w:shd w:val="clear" w:fill="FFFFFF"/>
        </w:rPr>
      </w:pPr>
      <w:r>
        <w:rPr>
          <w:rFonts w:ascii="Times New Roman" w:hAnsi="Times New Roman"/>
          <w:sz w:val="24"/>
          <w:shd w:val="clear" w:fill="FFFFFF"/>
        </w:rPr>
        <w:t>18. Батраева, Э. А. Экономика предприятия общественного питания : учебник и практикум для СПО / Э. А. Батраева. — 2-е изд., перераб. и доп. — М. : Издательство Юрайт, 2017. — 390 с. — (Профессиональное образование). — ISBN 978-5-534-04578-9. https://www.biblio-online.ru/viewer/3854307A-CC01-4C5E-BB56-00D59CBC3546#page/1</w:t>
      </w:r>
    </w:p>
    <w:p>
      <w:pPr>
        <w:spacing w:lineRule="auto" w:line="240" w:after="0" w:beforeAutospacing="0" w:afterAutospacing="0"/>
        <w:ind w:firstLine="770"/>
        <w:jc w:val="both"/>
        <w:rPr>
          <w:rFonts w:ascii="Times New Roman" w:hAnsi="Times New Roman"/>
          <w:sz w:val="24"/>
          <w:shd w:val="clear" w:fill="FFFFFF"/>
        </w:rPr>
      </w:pPr>
      <w:r>
        <w:rPr>
          <w:rFonts w:ascii="Times New Roman" w:hAnsi="Times New Roman"/>
          <w:sz w:val="24"/>
          <w:shd w:val="clear" w:fill="FFFFFF"/>
        </w:rPr>
        <w:t>19. Щетинин, М. П. Проектирование предприятий общественного питания. Руководство к выполнению учебных проектов : учебное пособие для СПО / М. П. Щетинин, О. В. Пасько, Н. В. Бураковская. — 2-е изд., испр. и доп. — М. : Издательство Юрайт, 2017. — 287 с. — (Профессиональное образование). — ISBN 978-5-534-04464-5. https://www.biblio-online.ru/viewer/89847F9B-2EAD-4972-B611-E2A761DC6AAC#page/1</w:t>
      </w:r>
    </w:p>
    <w:p>
      <w:pPr>
        <w:spacing w:lineRule="auto" w:line="240" w:after="0" w:beforeAutospacing="0" w:afterAutospacing="0"/>
        <w:ind w:firstLine="770"/>
        <w:jc w:val="both"/>
        <w:rPr>
          <w:rFonts w:ascii="Times New Roman" w:hAnsi="Times New Roman"/>
          <w:sz w:val="24"/>
          <w:shd w:val="clear" w:fill="FFFFFF"/>
        </w:rPr>
      </w:pPr>
      <w:r>
        <w:rPr>
          <w:rFonts w:ascii="Times New Roman" w:hAnsi="Times New Roman"/>
          <w:sz w:val="24"/>
          <w:shd w:val="clear" w:fill="FFFFFF"/>
        </w:rPr>
        <w:t>20. Пасько, О. В. Технология продукции общественного питания за рубежом : учебное пособие для СПО / О. В. Пасько, Н. В. Бураковская. — М. : Издательство Юрайт, 2017. — 163 с. — (Профессиональное образование). — ISBN 978-5-534-04253-5. https://www.biblio-online.ru/viewer/4EFBEF2D-2F5D-48E0-9618-FB231CDC7AD4#page/1</w:t>
      </w:r>
    </w:p>
    <w:p>
      <w:pPr>
        <w:spacing w:lineRule="auto" w:line="240" w:after="0" w:beforeAutospacing="0" w:afterAutospacing="0"/>
        <w:ind w:firstLine="770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 Электронные издания (электронные ресурсы)</w:t>
      </w:r>
    </w:p>
    <w:p>
      <w:pPr>
        <w:spacing w:lineRule="auto" w:line="240" w:after="0" w:beforeAutospacing="0" w:afterAutospacing="0"/>
        <w:ind w:firstLine="7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  <w:tab/>
        <w:t>http://hotel.web-3.ru/intarticles/?act=full&amp;id_article=7830</w:t>
      </w:r>
    </w:p>
    <w:p>
      <w:pPr>
        <w:spacing w:lineRule="auto" w:line="240" w:after="0" w:beforeAutospacing="0" w:afterAutospacing="0"/>
        <w:ind w:firstLine="7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  <w:tab/>
        <w:t>http://www.catalog.horeca.ru/newspaper/business/249/</w:t>
      </w:r>
    </w:p>
    <w:p>
      <w:pPr>
        <w:spacing w:lineRule="auto" w:line="240" w:after="0" w:beforeAutospacing="0" w:afterAutospacing="0"/>
        <w:ind w:firstLine="7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  <w:tab/>
        <w:t>http://prohotel.ru/</w:t>
      </w:r>
    </w:p>
    <w:p>
      <w:pPr>
        <w:spacing w:lineRule="auto" w:line="240" w:after="0" w:beforeAutospacing="0" w:afterAutospacing="0"/>
        <w:ind w:firstLine="77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3. Дополнительные источники</w:t>
      </w:r>
    </w:p>
    <w:p>
      <w:pPr>
        <w:numPr>
          <w:ilvl w:val="0"/>
          <w:numId w:val="26"/>
        </w:numPr>
        <w:spacing w:lineRule="auto" w:line="240" w:after="0" w:beforeAutospacing="0" w:afterAutospacing="0"/>
        <w:ind w:firstLine="77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"https://www.livelib.ru/author/372859-mironov-sergej" \o "Миронов Сергей"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Миронов Сергей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"https://www.livelib.ru/book/1000605668-gost-platit-dvazhdy-tehniki-povysheniya-prodazh-v-restorane-mironov-sergej" \o "Гость платит дважды. Техники повышения продаж в ресторане"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Гость платит дважды. Техники повышения продаж в ресторане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. Издательство: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"https://www.livelib.ru/publisher/7823-restorannye-vedomosti"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«Ресторанные ведомости»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, 2012.</w:t>
      </w:r>
    </w:p>
    <w:p>
      <w:pPr>
        <w:numPr>
          <w:ilvl w:val="0"/>
          <w:numId w:val="26"/>
        </w:numPr>
        <w:spacing w:lineRule="auto" w:line="240" w:after="0" w:beforeAutospacing="0" w:afterAutospacing="0"/>
        <w:ind w:firstLine="77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Победоносцева Елена. Все дело в людях. Ваш ресторан: как из персонала сделать команду.  Издательство: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"https://www.livelib.ru/publisher/7823-restorannye-vedomosti"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«Ресторанные ведомости»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, 2016.</w:t>
      </w:r>
    </w:p>
    <w:p>
      <w:pPr>
        <w:numPr>
          <w:ilvl w:val="0"/>
          <w:numId w:val="26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ind w:firstLine="77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Наталья Богатова. Современный ресторан. Книга успешного управляющего. Партнеры. Персонал. Гости. – Ресторанные ведомости, 2014.</w:t>
      </w:r>
    </w:p>
    <w:p>
      <w:pPr>
        <w:spacing w:lineRule="auto" w:line="240" w:after="0" w:beforeAutospacing="0" w:afterAutospacing="0"/>
        <w:ind w:left="71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sectPr>
      <w:footerReference xmlns:r="http://schemas.openxmlformats.org/officeDocument/2006/relationships" w:type="default" r:id="RelFtr1"/>
      <w:type w:val="nextPage"/>
      <w:pgSz w:w="11906" w:h="16838" w:code="9"/>
      <w:pgMar w:left="1701" w:right="850" w:top="1134" w:bottom="1134" w:header="708" w:footer="708" w:gutter="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noProof w:val="1"/>
      </w:rPr>
      <w:t>#</w:t>
    </w:r>
    <w:r>
      <w:fldChar w:fldCharType="end"/>
    </w:r>
  </w:p>
  <w:p>
    <w:pPr>
      <w:pStyle w:val="P6"/>
    </w:pPr>
  </w:p>
</w:ftr>
</file>

<file path=word/numbering.xml><?xml version="1.0" encoding="utf-8"?>
<w:numbering xmlns:w="http://schemas.openxmlformats.org/wordprocessingml/2006/main">
  <w:abstractNum w:abstractNumId="0">
    <w:nsid w:val="010A0D04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644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6285FF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0749307C"/>
    <w:multiLevelType w:val="hybridMultilevel"/>
    <w:lvl w:ilvl="0" w:tplc="EFECC7E0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nsid w:val="09E544C9"/>
    <w:multiLevelType w:val="hybridMultilevel"/>
    <w:lvl w:ilvl="0" w:tplc="99A4A750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0AC676FE"/>
    <w:multiLevelType w:val="hybridMultilevel"/>
    <w:lvl w:ilvl="0" w:tplc="EFECC7E0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0D2030C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">
    <w:nsid w:val="16E62F5F"/>
    <w:multiLevelType w:val="hybridMultilevel"/>
    <w:lvl w:ilvl="0" w:tplc="DA5814B8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231D468A"/>
    <w:multiLevelType w:val="hybridMultilevel"/>
    <w:lvl w:ilvl="0" w:tplc="B87AD3F6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nsid w:val="244071DB"/>
    <w:multiLevelType w:val="hybridMultilevel"/>
    <w:lvl w:ilvl="0" w:tplc="B87AD3F6">
      <w:start w:val="1"/>
      <w:numFmt w:val="bullet"/>
      <w:suff w:val="tab"/>
      <w:lvlText w:val=""/>
      <w:lvlJc w:val="left"/>
      <w:pPr>
        <w:ind w:hanging="360" w:left="644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nsid w:val="24AF1416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27563A19"/>
    <w:multiLevelType w:val="multilevel"/>
    <w:lvl w:ilvl="0">
      <w:start w:val="1"/>
      <w:numFmt w:val="decimal"/>
      <w:suff w:val="tab"/>
      <w:lvlText w:val="%1."/>
      <w:lvlJc w:val="left"/>
      <w:pPr>
        <w:ind w:hanging="360" w:left="1350"/>
      </w:pPr>
      <w:rPr/>
    </w:lvl>
    <w:lvl w:ilvl="1">
      <w:start w:val="2"/>
      <w:numFmt w:val="decimal"/>
      <w:isLgl w:val="1"/>
      <w:suff w:val="tab"/>
      <w:lvlText w:val="%1.%2."/>
      <w:lvlJc w:val="left"/>
      <w:pPr>
        <w:ind w:hanging="540" w:left="90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08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08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44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4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180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180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160"/>
      </w:pPr>
      <w:rPr/>
    </w:lvl>
  </w:abstractNum>
  <w:abstractNum w:abstractNumId="11">
    <w:nsid w:val="27AF2C6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2">
    <w:nsid w:val="30F4361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37E0483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4">
    <w:nsid w:val="3934503B"/>
    <w:multiLevelType w:val="hybridMultilevel"/>
    <w:lvl w:ilvl="0" w:tplc="B87AD3F6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5">
    <w:nsid w:val="3F6307F6"/>
    <w:multiLevelType w:val="hybridMultilevel"/>
    <w:lvl w:ilvl="0" w:tplc="EC949AC4">
      <w:start w:val="1"/>
      <w:numFmt w:val="decimal"/>
      <w:suff w:val="tab"/>
      <w:lvlText w:val="%1."/>
      <w:lvlJc w:val="left"/>
      <w:pPr>
        <w:ind w:hanging="975" w:left="1684"/>
        <w:tabs>
          <w:tab w:val="left" w:pos="1684" w:leader="none"/>
        </w:tabs>
      </w:pPr>
      <w:rPr>
        <w:b w:val="1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789"/>
        <w:tabs>
          <w:tab w:val="left" w:pos="1789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09"/>
        <w:tabs>
          <w:tab w:val="left" w:pos="2509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29"/>
        <w:tabs>
          <w:tab w:val="left" w:pos="3229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49"/>
        <w:tabs>
          <w:tab w:val="left" w:pos="3949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69"/>
        <w:tabs>
          <w:tab w:val="left" w:pos="4669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89"/>
        <w:tabs>
          <w:tab w:val="left" w:pos="5389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09"/>
        <w:tabs>
          <w:tab w:val="left" w:pos="6109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29"/>
        <w:tabs>
          <w:tab w:val="left" w:pos="6829" w:leader="none"/>
        </w:tabs>
      </w:pPr>
      <w:rPr/>
    </w:lvl>
  </w:abstractNum>
  <w:abstractNum w:abstractNumId="16">
    <w:nsid w:val="53617AAA"/>
    <w:multiLevelType w:val="hybridMultilevel"/>
    <w:lvl w:ilvl="0" w:tplc="B0DC7176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">
    <w:nsid w:val="538A2A11"/>
    <w:multiLevelType w:val="hybridMultilevel"/>
    <w:lvl w:ilvl="0" w:tplc="EFECC7E0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8">
    <w:nsid w:val="5DA60248"/>
    <w:multiLevelType w:val="hybridMultilevel"/>
    <w:lvl w:ilvl="0" w:tplc="EFECC7E0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9">
    <w:nsid w:val="67922A0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">
    <w:nsid w:val="683913A5"/>
    <w:multiLevelType w:val="hybridMultilevel"/>
    <w:lvl w:ilvl="0" w:tplc="B0DC7176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1">
    <w:nsid w:val="6A7972E4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644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2">
    <w:nsid w:val="6F9F793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3">
    <w:nsid w:val="754E0189"/>
    <w:multiLevelType w:val="hybridMultilevel"/>
    <w:lvl w:ilvl="0" w:tplc="B87AD3F6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4">
    <w:nsid w:val="7E2E6F6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5">
    <w:nsid w:val="7F680157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8"/>
  </w:num>
  <w:num w:numId="5">
    <w:abstractNumId w:val="3"/>
  </w:num>
  <w:num w:numId="6">
    <w:abstractNumId w:val="15"/>
  </w:num>
  <w:num w:numId="7">
    <w:abstractNumId w:val="11"/>
  </w:num>
  <w:num w:numId="8">
    <w:abstractNumId w:val="5"/>
  </w:num>
  <w:num w:numId="9">
    <w:abstractNumId w:val="23"/>
  </w:num>
  <w:num w:numId="10">
    <w:abstractNumId w:val="7"/>
  </w:num>
  <w:num w:numId="11">
    <w:abstractNumId w:val="24"/>
  </w:num>
  <w:num w:numId="12">
    <w:abstractNumId w:val="13"/>
  </w:num>
  <w:num w:numId="13">
    <w:abstractNumId w:val="14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9"/>
  </w:num>
  <w:num w:numId="18">
    <w:abstractNumId w:val="12"/>
  </w:num>
  <w:num w:numId="19">
    <w:abstractNumId w:val="1"/>
  </w:num>
  <w:num w:numId="20">
    <w:abstractNumId w:val="22"/>
  </w:num>
  <w:num w:numId="21">
    <w:abstractNumId w:val="0"/>
  </w:num>
  <w:num w:numId="22">
    <w:abstractNumId w:val="21"/>
  </w:num>
  <w:num w:numId="23">
    <w:abstractNumId w:val="20"/>
  </w:num>
  <w:num w:numId="24">
    <w:abstractNumId w:val="10"/>
  </w:num>
  <w:num w:numId="25">
    <w:abstractNumId w:val="19"/>
  </w:num>
  <w:num w:numId="26">
    <w:abstractNumId w:val="25"/>
  </w:num>
</w:numbering>
</file>

<file path=word/settings.xml><?xml version="1.0" encoding="utf-8"?>
<w:settings xmlns:w="http://schemas.openxmlformats.org/wordprocessingml/2006/main">
  <w:displayBackgroundShape w:val="0"/>
  <w:defaultTabStop w:val="709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Balloon Text"/>
    <w:basedOn w:val="P0"/>
    <w:link w:val="C4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3">
    <w:name w:val="Body Text"/>
    <w:basedOn w:val="P0"/>
    <w:link w:val="C5"/>
    <w:pPr>
      <w:spacing w:lineRule="auto" w:line="240" w:after="0" w:beforeAutospacing="0" w:afterAutospacing="0"/>
      <w:jc w:val="both"/>
    </w:pPr>
    <w:rPr>
      <w:rFonts w:ascii="Times New Roman" w:hAnsi="Times New Roman"/>
      <w:sz w:val="24"/>
    </w:rPr>
  </w:style>
  <w:style w:type="paragraph" w:styleId="P4">
    <w:name w:val="Body Text Indent 2"/>
    <w:basedOn w:val="P0"/>
    <w:link w:val="C6"/>
    <w:pPr>
      <w:spacing w:lineRule="auto" w:line="480" w:after="120" w:beforeAutospacing="0" w:afterAutospacing="0"/>
      <w:ind w:left="283"/>
    </w:pPr>
    <w:rPr>
      <w:rFonts w:ascii="Calibri" w:hAnsi="Calibri"/>
    </w:rPr>
  </w:style>
  <w:style w:type="paragraph" w:styleId="P5">
    <w:name w:val="header"/>
    <w:basedOn w:val="P0"/>
    <w:link w:val="C8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6">
    <w:name w:val="footer"/>
    <w:basedOn w:val="P0"/>
    <w:link w:val="C9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trong"/>
    <w:basedOn w:val="C0"/>
    <w:qFormat/>
    <w:rPr>
      <w:b w:val="1"/>
    </w:rPr>
  </w:style>
  <w:style w:type="character" w:styleId="C4">
    <w:name w:val="Текст выноски Знак"/>
    <w:basedOn w:val="C0"/>
    <w:link w:val="P2"/>
    <w:semiHidden/>
    <w:rPr>
      <w:rFonts w:ascii="Tahoma" w:hAnsi="Tahoma"/>
      <w:sz w:val="16"/>
    </w:rPr>
  </w:style>
  <w:style w:type="character" w:styleId="C5">
    <w:name w:val="Основной текст Знак"/>
    <w:basedOn w:val="C0"/>
    <w:link w:val="P3"/>
    <w:rPr>
      <w:rFonts w:ascii="Times New Roman" w:hAnsi="Times New Roman"/>
      <w:sz w:val="24"/>
    </w:rPr>
  </w:style>
  <w:style w:type="character" w:styleId="C6">
    <w:name w:val="Основной текст с отступом 2 Знак"/>
    <w:basedOn w:val="C0"/>
    <w:link w:val="P4"/>
    <w:rPr>
      <w:rFonts w:ascii="Calibri" w:hAnsi="Calibri"/>
    </w:rPr>
  </w:style>
  <w:style w:type="character" w:styleId="C7">
    <w:name w:val="Placeholder Text"/>
    <w:basedOn w:val="C0"/>
    <w:semiHidden/>
    <w:rPr>
      <w:color w:val="808080"/>
    </w:rPr>
  </w:style>
  <w:style w:type="character" w:styleId="C8">
    <w:name w:val="Верхний колонтитул Знак"/>
    <w:basedOn w:val="C0"/>
    <w:link w:val="P5"/>
    <w:rPr/>
  </w:style>
  <w:style w:type="character" w:styleId="C9">
    <w:name w:val="Нижний колонтитул Знак"/>
    <w:basedOn w:val="C0"/>
    <w:link w:val="P6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3" Type="http://schemas.openxmlformats.org/officeDocument/2006/relationships/image" Target="/media/image3.png" /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